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50121-12-11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>' 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מדיום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"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חב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לתעשיות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גרפיות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 – מדי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באמצעות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 רמלה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יולי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מדיום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"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חב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לתעשיות גרפיות בע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אלי יוסף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שניהם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אדר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קוריאט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מס ערך מוסף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ו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117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117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117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117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6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10" w:name="ABSTRACT_END"/>
      <w:bookmarkEnd w:id="10"/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כשותפים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ודיווחו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גרפיות</w:t>
      </w:r>
      <w:r>
        <w:rPr>
          <w:rtl w:val="true"/>
        </w:rPr>
        <w:t xml:space="preserve">".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כשותפים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חדלו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היקלעותם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אירוע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אחד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מספר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אירועים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Arial" w:hAnsi="Arial" w:cs="Arial"/>
          <w:rtl w:val="true"/>
        </w:rPr>
        <w:t>תחילה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לקבוע האם עסקינן בכמה עבירות המהוות אירוע אחד ואזי יש לקבוע מתחם עונש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שמא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 במספר 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אז יש לקבוע מתחם עונש לכל אירוע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פי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מבחן הקשר הדוק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שנקבע בפסק הדין בעניין </w:t>
      </w:r>
      <w:hyperlink r:id="rId10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4910/13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בני גאבר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24.10.14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נבחן קיומו של קשר בין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היותן חלק מאותה תכנית עבריינית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בעיני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להשקיף על מכלול האירועים שבכתב האישום כאירוע אחד וזאת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היות ומדובר בשורה של עבירות מאותו הסוג ובהינתן זיקה עניינית בין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 באותו דפוס פעולה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בכוונתי לקבוע מתחם עונש הולם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לכל העבירות שפורטו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ובעיני מדובר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אירוע אחד</w:t>
      </w:r>
      <w:r>
        <w:rPr>
          <w:rFonts w:cs="Arial" w:ascii="Arial" w:hAnsi="Arial"/>
          <w:u w:val="single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הערך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החברתי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המוגן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color w:val="000000"/>
          <w:rtl w:val="true"/>
        </w:rPr>
        <w:t>הערכים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החברתיים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הנפגעים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הינם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היתר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השוויון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נישומים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השמירה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צביון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מערכת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ובכלכלת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דברי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השופטת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פרוקצ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יה</w:t>
      </w:r>
      <w:r>
        <w:rPr>
          <w:rFonts w:cs="Times New Roman"/>
          <w:color w:val="000000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1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512/04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עבייד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נח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381</w:t>
      </w:r>
      <w:r>
        <w:rPr>
          <w:rtl w:val="true"/>
        </w:rPr>
        <w:t xml:space="preserve">, </w:t>
      </w:r>
      <w:r>
        <w:rPr/>
        <w:t>384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לשונה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ועבריינות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ולפעילותן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הציבוריות</w:t>
      </w:r>
      <w:r>
        <w:rPr>
          <w:rtl w:val="true"/>
        </w:rPr>
        <w:t xml:space="preserve">. </w:t>
      </w:r>
      <w:r>
        <w:rPr>
          <w:rtl w:val="true"/>
        </w:rPr>
        <w:t>העבריינות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tl w:val="true"/>
        </w:rPr>
        <w:t xml:space="preserve">, </w:t>
      </w:r>
      <w:r>
        <w:rPr>
          <w:rtl w:val="true"/>
        </w:rPr>
        <w:t>ועבריינות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בכללה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ובתשתית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מתוחכמים</w:t>
      </w:r>
      <w:r>
        <w:rPr>
          <w:rtl w:val="true"/>
        </w:rPr>
        <w:t xml:space="preserve">,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לאיתור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הנוהגת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color w:val="000000"/>
        </w:rPr>
        <w:t>8</w:t>
      </w:r>
      <w:r>
        <w:rPr>
          <w:color w:val="000000"/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1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8507/09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24.1.10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442,130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כספי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17">
        <w:r>
          <w:rPr>
            <w:rStyle w:val="Hyperlink"/>
            <w:rtl w:val="true"/>
          </w:rPr>
          <w:t>עפ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חיפה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24977-08-14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ראובן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גיודא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6.8.15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כמעט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170,000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u w:val="single"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2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6296/09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איקס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איקס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9.8.09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300,130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  <w:t xml:space="preserve"> </w:t>
      </w:r>
      <w:hyperlink r:id="rId2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11640/05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14.5.06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270,000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26">
        <w:r>
          <w:rPr>
            <w:rStyle w:val="Hyperlink"/>
            <w:rtl w:val="true"/>
          </w:rPr>
          <w:t>עפ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51920-12-14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מוסקוביץ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15.3.15</w:t>
      </w:r>
      <w:r>
        <w:rPr>
          <w:rtl w:val="true"/>
        </w:rPr>
        <w:t xml:space="preserve">).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25852-11-10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9.11.14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113,000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54,142</w:t>
      </w:r>
      <w:r>
        <w:rPr>
          <w:rFonts w:eastAsia="David" w:ascii="David" w:hAnsi="David"/>
          <w:u w:val="singl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לחודשיים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hyperlink r:id="rId29">
        <w:r>
          <w:rPr>
            <w:rStyle w:val="Hyperlink"/>
            <w:rFonts w:ascii="Arial" w:hAnsi="Arial" w:cs="Arial"/>
            <w:rtl w:val="true"/>
          </w:rPr>
          <w:t>עפ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ג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מחוזי מרכז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cs="Arial" w:ascii="Arial" w:hAnsi="Arial"/>
          </w:rPr>
          <w:t>24241-12-14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אוזן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10.2.15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המערער הורשע בגין אי הגשת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לרשויות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ואשר השתרעו על תקופה של כשלוש שנים ונדון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שירוצו בעבודות שירות ומאסר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היה </w:t>
      </w:r>
      <w:r>
        <w:rPr>
          <w:rFonts w:cs="Arial" w:ascii="Arial" w:hAnsi="Arial"/>
          <w:u w:val="single"/>
        </w:rPr>
        <w:t>50,000</w:t>
      </w:r>
      <w:r>
        <w:rPr>
          <w:rFonts w:cs="Arial" w:ascii="Arial" w:hAnsi="Arial"/>
          <w:u w:val="single"/>
          <w:rtl w:val="true"/>
        </w:rPr>
        <w:t xml:space="preserve"> 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הוכרז כפושט רגל והיה אב לבן יחיד שעול פרנסתו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 </w:t>
      </w:r>
      <w:r>
        <w:rPr>
          <w:rFonts w:ascii="Arial" w:hAnsi="Arial" w:cs="Arial"/>
          <w:u w:val="single"/>
          <w:rtl w:val="true"/>
        </w:rPr>
        <w:t>לא הסיר את המחדלים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הסיבה נבעה מכך שהוכרז כפושט רגל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קיצר את תקופת מאסרו </w:t>
      </w:r>
      <w:r>
        <w:rPr>
          <w:rFonts w:ascii="Arial" w:hAnsi="Arial" w:cs="Arial"/>
          <w:u w:val="single"/>
          <w:rtl w:val="true"/>
        </w:rPr>
        <w:t>לשלושה חודשי מאסר שירוצו בדרך של 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הגדרת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רכיב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רכיב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)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;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/>
        <w:t>11</w:t>
      </w:r>
      <w:r>
        <w:rPr>
          <w:rtl w:val="true"/>
        </w:rPr>
        <w:t>.</w:t>
        <w:tab/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קיימת חשיבות </w:t>
      </w:r>
      <w:r>
        <w:rPr>
          <w:rFonts w:ascii="Arial" w:hAnsi="Arial" w:cs="Arial"/>
          <w:u w:val="single"/>
          <w:rtl w:val="true"/>
        </w:rPr>
        <w:t>לעיתוי</w:t>
      </w:r>
      <w:r>
        <w:rPr>
          <w:rFonts w:ascii="Arial" w:hAnsi="Arial" w:cs="Arial"/>
          <w:rtl w:val="true"/>
        </w:rPr>
        <w:t xml:space="preserve"> בהסרת המחדל כשיקול להקלה בעונש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השלב הנכון לו הינו לפני הגשת כתב האישום או לכל המאוחר בעת הדיון בערכאה הראשונה </w:t>
      </w:r>
      <w:r>
        <w:rPr>
          <w:rFonts w:cs="Arial" w:ascii="Arial" w:hAnsi="Arial"/>
          <w:rtl w:val="true"/>
        </w:rPr>
        <w:t>(</w:t>
      </w:r>
      <w:hyperlink r:id="rId30">
        <w:r>
          <w:rPr>
            <w:rStyle w:val="Hyperlink"/>
            <w:rFonts w:ascii="Arial" w:hAnsi="Arial" w:cs="Arial"/>
            <w:rtl w:val="true"/>
          </w:rPr>
          <w:t>רע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1546/05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יהודה שמחוני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22.3.05</w:t>
      </w:r>
      <w:r>
        <w:rPr>
          <w:rFonts w:cs="Arial" w:ascii="Arial" w:hAnsi="Arial"/>
          <w:rtl w:val="true"/>
        </w:rPr>
        <w:t xml:space="preserve">); </w:t>
      </w:r>
      <w:hyperlink r:id="rId31">
        <w:r>
          <w:rPr>
            <w:rStyle w:val="Hyperlink"/>
            <w:rFonts w:ascii="Arial" w:hAnsi="Arial" w:cs="Arial"/>
            <w:rtl w:val="true"/>
          </w:rPr>
          <w:t>רע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11640/05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סופר סטאר מרקט רשת מזון בע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14.5.06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/>
        <w:t>13</w:t>
      </w:r>
      <w:r>
        <w:rPr>
          <w:rtl w:val="true"/>
        </w:rPr>
        <w:t>.</w:t>
        <w:tab/>
      </w:r>
      <w:r>
        <w:rPr>
          <w:rFonts w:ascii="Arial" w:hAnsi="Arial" w:cs="Arial"/>
          <w:rtl w:val="true"/>
        </w:rPr>
        <w:t>הלכה פסוקה היא כי מצוקה כלכלית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קשה ככל שתהא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אינה יכולה להוות נסיבה מקילה בדבר אי תשלום המס </w:t>
      </w:r>
      <w:r>
        <w:rPr>
          <w:color w:val="000000"/>
          <w:rtl w:val="true"/>
        </w:rPr>
        <w:t>וכי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לפרט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לבסס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פעילותו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העסקית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שייכים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תעמוד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הצדק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סביר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שהעיכוב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בהעברת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המיסים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ממצוקה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כלכלית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הותיר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הפרט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המיסים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שאינם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שייכים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קריסתו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3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4844/00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ברקאי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color w:val="000000"/>
          <w:rtl w:val="true"/>
        </w:rPr>
        <w:t>(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37</w:t>
      </w:r>
      <w:r>
        <w:rPr>
          <w:color w:val="000000"/>
          <w:rtl w:val="true"/>
        </w:rPr>
        <w:t>(</w:t>
      </w:r>
      <w:r>
        <w:rPr>
          <w:color w:val="000000"/>
        </w:rPr>
        <w:t>2001</w:t>
      </w:r>
      <w:r>
        <w:rPr>
          <w:color w:val="000000"/>
          <w:rtl w:val="true"/>
        </w:rPr>
        <w:t xml:space="preserve">); </w:t>
      </w:r>
      <w:hyperlink r:id="rId3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6167/11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ספקיוריטי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המוקד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המרכזי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מ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עמ</w:t>
      </w:r>
      <w:r>
        <w:rPr>
          <w:color w:val="000000"/>
          <w:rtl w:val="true"/>
        </w:rPr>
        <w:t xml:space="preserve">' </w:t>
      </w:r>
      <w:r>
        <w:rPr>
          <w:color w:val="000000"/>
        </w:rPr>
        <w:t>6-7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19.2.12</w:t>
      </w:r>
      <w:r>
        <w:rPr>
          <w:color w:val="000000"/>
          <w:rtl w:val="true"/>
        </w:rPr>
        <w:t xml:space="preserve">); </w:t>
      </w:r>
      <w:hyperlink r:id="rId3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4563/09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פריצקר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אגף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הכנסה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ומע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מ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], </w:t>
      </w:r>
      <w:r>
        <w:rPr>
          <w:color w:val="000000"/>
          <w:rtl w:val="true"/>
        </w:rPr>
        <w:t>עמ</w:t>
      </w:r>
      <w:r>
        <w:rPr>
          <w:color w:val="000000"/>
          <w:rtl w:val="true"/>
        </w:rPr>
        <w:t xml:space="preserve">' 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5.6.09</w:t>
      </w:r>
      <w:r>
        <w:rPr>
          <w:color w:val="000000"/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</w:t>
      </w:r>
      <w:r>
        <w:rPr>
          <w:rtl w:val="true"/>
        </w:rPr>
        <w:t xml:space="preserve">"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אלפרט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יהוד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מונוסון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20.6.17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רמלה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15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1.7.17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1.7.17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50121-12-11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>' "</w:t>
    </w:r>
    <w:r>
      <w:rPr>
        <w:rFonts w:ascii="David" w:hAnsi="David"/>
        <w:color w:val="000000"/>
        <w:sz w:val="22"/>
        <w:sz w:val="22"/>
        <w:szCs w:val="22"/>
        <w:rtl w:val="true"/>
      </w:rPr>
      <w:t>מדיום</w:t>
    </w:r>
    <w:r>
      <w:rPr>
        <w:rFonts w:cs="David" w:ascii="David" w:hAnsi="David"/>
        <w:color w:val="000000"/>
        <w:sz w:val="22"/>
        <w:szCs w:val="22"/>
        <w:rtl w:val="true"/>
      </w:rPr>
      <w:t xml:space="preserve">" </w:t>
    </w:r>
    <w:r>
      <w:rPr>
        <w:rFonts w:ascii="David" w:hAnsi="David"/>
        <w:color w:val="000000"/>
        <w:sz w:val="22"/>
        <w:sz w:val="22"/>
        <w:szCs w:val="22"/>
        <w:rtl w:val="true"/>
      </w:rPr>
      <w:t>חב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לתעשיות גרפיות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a" TargetMode="External"/><Relationship Id="rId4" Type="http://schemas.openxmlformats.org/officeDocument/2006/relationships/hyperlink" Target="http://www.nevo.co.il/law/72813/117.a.14" TargetMode="External"/><Relationship Id="rId5" Type="http://schemas.openxmlformats.org/officeDocument/2006/relationships/hyperlink" Target="http://www.nevo.co.il/law/72813/117.a.3" TargetMode="External"/><Relationship Id="rId6" Type="http://schemas.openxmlformats.org/officeDocument/2006/relationships/hyperlink" Target="http://www.nevo.co.il/law/72813/117.a.6" TargetMode="External"/><Relationship Id="rId7" Type="http://schemas.openxmlformats.org/officeDocument/2006/relationships/hyperlink" Target="http://www.nevo.co.il/law/72813/117.a.6" TargetMode="External"/><Relationship Id="rId8" Type="http://schemas.openxmlformats.org/officeDocument/2006/relationships/hyperlink" Target="http://www.nevo.co.il/law/72813" TargetMode="External"/><Relationship Id="rId9" Type="http://schemas.openxmlformats.org/officeDocument/2006/relationships/hyperlink" Target="http://www.nevo.co.il/law/72813" TargetMode="External"/><Relationship Id="rId10" Type="http://schemas.openxmlformats.org/officeDocument/2006/relationships/hyperlink" Target="http://www.nevo.co.il/case/13093721" TargetMode="External"/><Relationship Id="rId11" Type="http://schemas.openxmlformats.org/officeDocument/2006/relationships/hyperlink" Target="http://www.nevo.co.il/case/5706979" TargetMode="External"/><Relationship Id="rId12" Type="http://schemas.openxmlformats.org/officeDocument/2006/relationships/hyperlink" Target="http://www.nevo.co.il/law/72813/117.a" TargetMode="External"/><Relationship Id="rId13" Type="http://schemas.openxmlformats.org/officeDocument/2006/relationships/hyperlink" Target="http://www.nevo.co.il/law/72813" TargetMode="External"/><Relationship Id="rId14" Type="http://schemas.openxmlformats.org/officeDocument/2006/relationships/hyperlink" Target="http://www.nevo.co.il/case/6131155" TargetMode="External"/><Relationship Id="rId15" Type="http://schemas.openxmlformats.org/officeDocument/2006/relationships/hyperlink" Target="http://www.nevo.co.il/law/72813/117.a" TargetMode="External"/><Relationship Id="rId16" Type="http://schemas.openxmlformats.org/officeDocument/2006/relationships/hyperlink" Target="http://www.nevo.co.il/law/72813" TargetMode="External"/><Relationship Id="rId17" Type="http://schemas.openxmlformats.org/officeDocument/2006/relationships/hyperlink" Target="http://www.nevo.co.il/case/17972405" TargetMode="External"/><Relationship Id="rId18" Type="http://schemas.openxmlformats.org/officeDocument/2006/relationships/hyperlink" Target="http://www.nevo.co.il/law/72813/117.a.3" TargetMode="External"/><Relationship Id="rId19" Type="http://schemas.openxmlformats.org/officeDocument/2006/relationships/hyperlink" Target="http://www.nevo.co.il/law/72813" TargetMode="External"/><Relationship Id="rId20" Type="http://schemas.openxmlformats.org/officeDocument/2006/relationships/hyperlink" Target="http://www.nevo.co.il/law/72813/117.a.14" TargetMode="External"/><Relationship Id="rId21" Type="http://schemas.openxmlformats.org/officeDocument/2006/relationships/hyperlink" Target="http://www.nevo.co.il/case/6058869" TargetMode="External"/><Relationship Id="rId22" Type="http://schemas.openxmlformats.org/officeDocument/2006/relationships/hyperlink" Target="http://www.nevo.co.il/law/72813/117.a" TargetMode="External"/><Relationship Id="rId23" Type="http://schemas.openxmlformats.org/officeDocument/2006/relationships/hyperlink" Target="http://www.nevo.co.il/law/72813" TargetMode="External"/><Relationship Id="rId24" Type="http://schemas.openxmlformats.org/officeDocument/2006/relationships/hyperlink" Target="http://www.nevo.co.il/case/6181500" TargetMode="External"/><Relationship Id="rId25" Type="http://schemas.openxmlformats.org/officeDocument/2006/relationships/hyperlink" Target="http://www.nevo.co.il/law/72813/117.a" TargetMode="External"/><Relationship Id="rId26" Type="http://schemas.openxmlformats.org/officeDocument/2006/relationships/hyperlink" Target="http://www.nevo.co.il/case/18758030" TargetMode="External"/><Relationship Id="rId27" Type="http://schemas.openxmlformats.org/officeDocument/2006/relationships/hyperlink" Target="http://www.nevo.co.il/case/4261482" TargetMode="External"/><Relationship Id="rId28" Type="http://schemas.openxmlformats.org/officeDocument/2006/relationships/hyperlink" Target="http://www.nevo.co.il/law/72813/117.a.6" TargetMode="External"/><Relationship Id="rId29" Type="http://schemas.openxmlformats.org/officeDocument/2006/relationships/hyperlink" Target="http://www.nevo.co.il/case/18726121" TargetMode="External"/><Relationship Id="rId30" Type="http://schemas.openxmlformats.org/officeDocument/2006/relationships/hyperlink" Target="http://www.nevo.co.il/case/5775612" TargetMode="External"/><Relationship Id="rId31" Type="http://schemas.openxmlformats.org/officeDocument/2006/relationships/hyperlink" Target="http://www.nevo.co.il/case/6181500" TargetMode="External"/><Relationship Id="rId32" Type="http://schemas.openxmlformats.org/officeDocument/2006/relationships/hyperlink" Target="http://www.nevo.co.il/case/5979766" TargetMode="External"/><Relationship Id="rId33" Type="http://schemas.openxmlformats.org/officeDocument/2006/relationships/hyperlink" Target="http://www.nevo.co.il/case/5592483" TargetMode="External"/><Relationship Id="rId34" Type="http://schemas.openxmlformats.org/officeDocument/2006/relationships/hyperlink" Target="http://www.nevo.co.il/case/5964406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2018-04-03T12:19:00Z</dcterms:created>
  <dc:creator> </dc:creator>
  <dc:description/>
  <cp:keywords/>
  <dc:language>en-IL</dc:language>
  <cp:lastModifiedBy>run</cp:lastModifiedBy>
  <dcterms:modified xsi:type="dcterms:W3CDTF">2018-04-03T12:19:00Z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#מדיום# חב' לתעשיות גרפיות בע#מ;אלי יוסף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13093721;5706979;6131155;17972405;6058869;6181500:2;18758030;4261482;18726121;5775612;5979766;5592483;5964406</vt:lpwstr>
  </property>
  <property fmtid="{D5CDD505-2E9C-101B-9397-08002B2CF9AE}" pid="9" name="CITY">
    <vt:lpwstr>רמ'</vt:lpwstr>
  </property>
  <property fmtid="{D5CDD505-2E9C-101B-9397-08002B2CF9AE}" pid="10" name="DATE">
    <vt:lpwstr>20170507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72813/117.a.6:2;117.a:4;117.a.3;117.a.14</vt:lpwstr>
  </property>
  <property fmtid="{D5CDD505-2E9C-101B-9397-08002B2CF9AE}" pid="15" name="LAWYER">
    <vt:lpwstr>מרב יולי;אדר קוריאט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50121</vt:lpwstr>
  </property>
  <property fmtid="{D5CDD505-2E9C-101B-9397-08002B2CF9AE}" pid="22" name="NEWPARTB">
    <vt:lpwstr>12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380020170507</vt:lpwstr>
  </property>
  <property fmtid="{D5CDD505-2E9C-101B-9397-08002B2CF9AE}" pid="34" name="TYPE_N_DATE">
    <vt:lpwstr>38020170507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