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  <w:bookmarkStart w:id="0" w:name="LawTable"/>
      <w:bookmarkStart w:id="1" w:name="LawTable"/>
      <w:bookmarkEnd w:id="1"/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2" w:name="LawTable_End"/>
            <w:bookmarkEnd w:id="2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בראשון לציון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5020/06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תביעות 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 שלוחת איילון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דזנשוילי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4905/06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תביעות 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 שלוחת איילון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דזנשוילי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אפריל </w:t>
            </w:r>
            <w:r>
              <w:rPr>
                <w:b/>
                <w:bCs/>
                <w:sz w:val="26"/>
                <w:szCs w:val="26"/>
              </w:rPr>
              <w:t>2015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סגן הנשיאה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השופט אברהם הימן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3" w:name="LastJudge"/>
            <w:bookmarkStart w:id="4" w:name="FirstAppellant"/>
            <w:bookmarkEnd w:id="3"/>
            <w:bookmarkEnd w:id="4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מ</w:t>
            </w:r>
            <w:r>
              <w:rPr>
                <w:rFonts w:eastAsia="Times New Roman" w:cs="Times New Roman" w:ascii="Times New Roman" w:hAnsi="Times New Roman"/>
                <w:rtl w:val="true"/>
              </w:rPr>
              <w:t>.</w:t>
            </w:r>
            <w:r>
              <w:rPr>
                <w:rFonts w:ascii="Times New Roman" w:hAnsi="Times New Roman" w:eastAsia="Times New Roman" w:cs="Times New Roman"/>
                <w:rtl w:val="true"/>
              </w:rPr>
              <w:t>י</w:t>
            </w:r>
            <w:r>
              <w:rPr>
                <w:rFonts w:eastAsia="Times New Roman" w:cs="Times New Roman" w:ascii="Times New Roman" w:hAnsi="Times New Roman"/>
                <w:rtl w:val="true"/>
              </w:rPr>
              <w:t xml:space="preserve">.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תביעות ת</w:t>
            </w:r>
            <w:r>
              <w:rPr>
                <w:rFonts w:eastAsia="Times New Roman" w:cs="Times New Roman" w:ascii="Times New Roman" w:hAnsi="Times New Roman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rtl w:val="true"/>
              </w:rPr>
              <w:t>א שלוחת איילון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שלמה דזנשוילי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start"/>
        <w:rPr>
          <w:b/>
          <w:bCs/>
        </w:rPr>
      </w:pPr>
      <w:bookmarkStart w:id="5" w:name="FirstLawyer"/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bookmarkEnd w:id="5"/>
      <w:r>
        <w:rPr>
          <w:b/>
          <w:b/>
          <w:bCs/>
          <w:rtl w:val="true"/>
        </w:rPr>
        <w:t xml:space="preserve"> המאשימה 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ד אלברט זמנסקי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הנאשם וב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 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ד    חיה ציון </w:t>
      </w:r>
    </w:p>
    <w:p>
      <w:pPr>
        <w:pStyle w:val="Normal"/>
        <w:spacing w:lineRule="auto" w:line="360"/>
        <w:ind w:end="0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</w:hyperlink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Header"/>
        <w:spacing w:lineRule="exact" w:line="240" w:before="0" w:after="120"/>
        <w:ind w:hanging="283" w:start="283" w:end="0"/>
        <w:jc w:val="both"/>
        <w:rPr/>
      </w:pPr>
      <w:bookmarkStart w:id="6" w:name="PsakDin"/>
      <w:bookmarkEnd w:id="6"/>
      <w:r>
        <w:rPr>
          <w:rtl w:val="true"/>
        </w:rPr>
        <w:t xml:space="preserve">גזר דין </w:t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bookmarkStart w:id="7" w:name="PsakDin"/>
      <w:bookmarkEnd w:id="7"/>
      <w:r>
        <w:rPr>
          <w:rtl w:val="true"/>
        </w:rPr>
        <w:t>הרקע</w:t>
      </w:r>
      <w:r>
        <w:rPr>
          <w:rtl w:val="true"/>
        </w:rPr>
        <w:t xml:space="preserve">.  </w:t>
      </w:r>
      <w:r>
        <w:rPr>
          <w:rtl w:val="true"/>
        </w:rPr>
        <w:t>בטרם גזר הדין מצאתי להקדים ולומר כי לדעתי גזר דין זה מיוחד במידה רבה מגזרי דין רבים אחרים</w:t>
      </w:r>
      <w:r>
        <w:rPr>
          <w:rtl w:val="true"/>
        </w:rPr>
        <w:t xml:space="preserve">, </w:t>
      </w:r>
      <w:r>
        <w:rPr>
          <w:rtl w:val="true"/>
        </w:rPr>
        <w:t>והייחוד הוא באשר לזמן הרב שחלף מעת הוחל בהליכים נגד הנאשם</w:t>
      </w:r>
      <w:r>
        <w:rPr>
          <w:rtl w:val="true"/>
        </w:rPr>
        <w:t xml:space="preserve">. </w:t>
      </w:r>
      <w:r>
        <w:rPr>
          <w:rtl w:val="true"/>
        </w:rPr>
        <w:t>ניתן לומר כי ההליכים נגד הנאשם החלו ב</w:t>
      </w:r>
      <w:hyperlink r:id="rId4">
        <w:r>
          <w:rPr>
            <w:rStyle w:val="Hyperlink"/>
            <w:color w:val="0000FF"/>
            <w:u w:val="single"/>
            <w:rtl w:val="true"/>
          </w:rPr>
          <w:t xml:space="preserve">תיק פלילי </w:t>
        </w:r>
        <w:r>
          <w:rPr>
            <w:rStyle w:val="Hyperlink"/>
            <w:color w:val="0000FF"/>
            <w:u w:val="single"/>
          </w:rPr>
          <w:t>4905/06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עת הוגש ביום </w:t>
      </w:r>
      <w:r>
        <w:rPr/>
        <w:t>29.10.06</w:t>
      </w:r>
      <w:r>
        <w:rPr>
          <w:rtl w:val="true"/>
        </w:rPr>
        <w:t xml:space="preserve"> </w:t>
      </w:r>
      <w:r>
        <w:rPr>
          <w:rtl w:val="true"/>
        </w:rPr>
        <w:t>כתב אישום נגד הנאשם ובו יוחסו לנאשם שלושה אישומים</w:t>
      </w:r>
      <w:r>
        <w:rPr>
          <w:rtl w:val="true"/>
        </w:rPr>
        <w:t xml:space="preserve">. </w:t>
      </w:r>
      <w:r>
        <w:rPr>
          <w:rtl w:val="true"/>
        </w:rPr>
        <w:t xml:space="preserve">הדיון החל ביום </w:t>
      </w:r>
      <w:r>
        <w:rPr/>
        <w:t>10.12.06</w:t>
      </w:r>
      <w:r>
        <w:rPr>
          <w:rtl w:val="true"/>
        </w:rPr>
        <w:t xml:space="preserve">. </w:t>
      </w:r>
      <w:r>
        <w:rPr>
          <w:rtl w:val="true"/>
        </w:rPr>
        <w:t>בדיון מיום זה הודיעו הצדדים כי הגיעו להסדר טיעון לפיו הנאשם יודה ויורשע על פי הודייתו בעובדות כתב האישום</w:t>
      </w:r>
      <w:r>
        <w:rPr>
          <w:rtl w:val="true"/>
        </w:rPr>
        <w:t xml:space="preserve">. </w:t>
      </w:r>
      <w:r>
        <w:rPr>
          <w:rtl w:val="true"/>
        </w:rPr>
        <w:t>הנאשם יופנה לשירות המבחן לקבלת תסקיר לעונש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הוצהר כי הנאשם מבקש לערוך </w:t>
      </w:r>
      <w:r>
        <w:rPr>
          <w:rtl w:val="true"/>
        </w:rPr>
        <w:t>"</w:t>
      </w:r>
      <w:r>
        <w:rPr>
          <w:rtl w:val="true"/>
        </w:rPr>
        <w:t>צירוף תיקים</w:t>
      </w:r>
      <w:r>
        <w:rPr>
          <w:rtl w:val="true"/>
        </w:rPr>
        <w:t xml:space="preserve">". </w:t>
      </w:r>
      <w:r>
        <w:rPr>
          <w:rtl w:val="true"/>
        </w:rPr>
        <w:t>התביעה הצהירה כי לא תסכים לדחות הדיון מעת לעת לשם בחינת הליך גמילה לנאשם</w:t>
      </w:r>
      <w:r>
        <w:rPr>
          <w:rtl w:val="true"/>
        </w:rPr>
        <w:t xml:space="preserve">.   </w:t>
      </w:r>
      <w:r>
        <w:rPr>
          <w:rtl w:val="true"/>
        </w:rPr>
        <w:t>בדיון זה הורשע הנאשם בעבירות שיוחסו לו בשלושת האישומים והדיון אכן</w:t>
      </w:r>
      <w:r>
        <w:rPr>
          <w:rtl w:val="true"/>
        </w:rPr>
        <w:t xml:space="preserve">, </w:t>
      </w:r>
      <w:r>
        <w:rPr>
          <w:rtl w:val="true"/>
        </w:rPr>
        <w:t>נדחה</w:t>
      </w:r>
      <w:r>
        <w:rPr>
          <w:rtl w:val="true"/>
        </w:rPr>
        <w:t xml:space="preserve">. </w:t>
      </w:r>
      <w:r>
        <w:rPr>
          <w:rtl w:val="true"/>
        </w:rPr>
        <w:t>מצאתי לפרט בקצרה ולא באריכות העבירות בהן הורשע הנאשם וממילא גזר דין זה מתייחס אליהם</w:t>
      </w:r>
      <w:r>
        <w:rPr>
          <w:rtl w:val="true"/>
        </w:rPr>
        <w:t xml:space="preserve">. </w:t>
      </w:r>
      <w:r>
        <w:rPr>
          <w:rtl w:val="true"/>
        </w:rPr>
        <w:t xml:space="preserve">יחד עם זאת אפרט במידה מסוימת את העובדות בהן הודה הנאשם והורשע בדיון שהתקיים ביום </w:t>
      </w:r>
      <w:r>
        <w:rPr/>
        <w:t>10.12.06</w:t>
      </w:r>
      <w:r>
        <w:rPr>
          <w:rtl w:val="true"/>
        </w:rPr>
        <w:t xml:space="preserve">. </w:t>
      </w:r>
      <w:r>
        <w:rPr>
          <w:rtl w:val="true"/>
        </w:rPr>
        <w:t>הנאשם הודה כי בשלוש הזדמנויות שונות</w:t>
      </w:r>
      <w:r>
        <w:rPr>
          <w:rtl w:val="true"/>
        </w:rPr>
        <w:t xml:space="preserve">: </w:t>
      </w:r>
      <w:r>
        <w:rPr/>
        <w:t>29.7.06</w:t>
      </w:r>
      <w:r>
        <w:rPr>
          <w:rtl w:val="true"/>
        </w:rPr>
        <w:t xml:space="preserve">, </w:t>
      </w:r>
      <w:r>
        <w:rPr/>
        <w:t>15.7.06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25.8.06</w:t>
      </w:r>
      <w:r>
        <w:rPr>
          <w:rtl w:val="true"/>
        </w:rPr>
        <w:t xml:space="preserve"> </w:t>
      </w:r>
      <w:r>
        <w:rPr>
          <w:rtl w:val="true"/>
        </w:rPr>
        <w:t>התפרץ לשלוש דירות בעיר חולון וגנב מתוכן כסף ותכשיטים</w:t>
      </w:r>
      <w:r>
        <w:rPr>
          <w:rtl w:val="true"/>
        </w:rPr>
        <w:t xml:space="preserve">.  </w:t>
      </w:r>
      <w:r>
        <w:rPr>
          <w:rtl w:val="true"/>
        </w:rPr>
        <w:t xml:space="preserve">בדיון שהתקיים ביום </w:t>
      </w:r>
      <w:r>
        <w:rPr/>
        <w:t>25.11.07</w:t>
      </w:r>
      <w:r>
        <w:rPr>
          <w:rtl w:val="true"/>
        </w:rPr>
        <w:t xml:space="preserve"> </w:t>
      </w:r>
      <w:r>
        <w:rPr>
          <w:rtl w:val="true"/>
        </w:rPr>
        <w:t>הודה הנאשם בסדרה ארוכה של עבירות בתיקים פליליים שונים אשר פורטו בהכרעת הדין של כב</w:t>
      </w:r>
      <w:r>
        <w:rPr>
          <w:rtl w:val="true"/>
        </w:rPr>
        <w:t xml:space="preserve">' </w:t>
      </w:r>
      <w:r>
        <w:rPr>
          <w:rtl w:val="true"/>
        </w:rPr>
        <w:t>השופטת ברודי מאותו יום</w:t>
      </w:r>
      <w:r>
        <w:rPr>
          <w:rtl w:val="true"/>
        </w:rPr>
        <w:t xml:space="preserve">. </w:t>
      </w:r>
      <w:r>
        <w:rPr>
          <w:rtl w:val="true"/>
        </w:rPr>
        <w:t xml:space="preserve">הדיון נדחה להמשך הליך </w:t>
      </w:r>
      <w:r>
        <w:rPr>
          <w:rtl w:val="true"/>
        </w:rPr>
        <w:t>"</w:t>
      </w:r>
      <w:r>
        <w:rPr>
          <w:rtl w:val="true"/>
        </w:rPr>
        <w:t>צירוף התיקים</w:t>
      </w:r>
      <w:r>
        <w:rPr>
          <w:rtl w:val="true"/>
        </w:rPr>
        <w:t xml:space="preserve">" </w:t>
      </w:r>
      <w:r>
        <w:rPr>
          <w:rtl w:val="true"/>
        </w:rPr>
        <w:t>ולגזר דין</w:t>
      </w:r>
      <w:r>
        <w:rPr>
          <w:rtl w:val="true"/>
        </w:rPr>
        <w:t xml:space="preserve">, </w:t>
      </w:r>
      <w:r>
        <w:rPr>
          <w:rtl w:val="true"/>
        </w:rPr>
        <w:t>אלא שמאז נעלמו עקבות הנאשם</w:t>
      </w:r>
      <w:r>
        <w:rPr>
          <w:rtl w:val="true"/>
        </w:rPr>
        <w:t xml:space="preserve">. </w:t>
      </w:r>
      <w:r>
        <w:rPr>
          <w:rtl w:val="true"/>
        </w:rPr>
        <w:t>ההליכים הותלו</w:t>
      </w:r>
      <w:r>
        <w:rPr>
          <w:rtl w:val="true"/>
        </w:rPr>
        <w:t xml:space="preserve">, </w:t>
      </w:r>
      <w:r>
        <w:rPr>
          <w:rtl w:val="true"/>
        </w:rPr>
        <w:t xml:space="preserve">עד אשר אותר הנאשם ומשפטו חודש בדיון שהתקיים לפני ביום </w:t>
      </w:r>
      <w:r>
        <w:rPr/>
        <w:t>5.1.14</w:t>
      </w:r>
      <w:r>
        <w:rPr>
          <w:rtl w:val="true"/>
        </w:rPr>
        <w:t xml:space="preserve">, </w:t>
      </w:r>
      <w:r>
        <w:rPr>
          <w:rtl w:val="true"/>
        </w:rPr>
        <w:t>דהיינו בחלוף למעלה משש שנים וחצי</w:t>
      </w:r>
      <w:r>
        <w:rPr>
          <w:rtl w:val="true"/>
        </w:rPr>
        <w:t xml:space="preserve">. </w:t>
      </w:r>
      <w:r>
        <w:rPr>
          <w:rtl w:val="true"/>
        </w:rPr>
        <w:t>בדיון זה התייצב הנאשם והובהר כי החליף ייצוג</w:t>
      </w:r>
      <w:r>
        <w:rPr>
          <w:rtl w:val="true"/>
        </w:rPr>
        <w:t xml:space="preserve">.   </w:t>
      </w:r>
      <w:r>
        <w:rPr>
          <w:rtl w:val="true"/>
        </w:rPr>
        <w:t xml:space="preserve">בדיון שהתקיים לפני ביום </w:t>
      </w:r>
      <w:r>
        <w:rPr/>
        <w:t>20.2.14</w:t>
      </w:r>
      <w:r>
        <w:rPr>
          <w:rtl w:val="true"/>
        </w:rPr>
        <w:t xml:space="preserve"> </w:t>
      </w:r>
      <w:r>
        <w:rPr>
          <w:rtl w:val="true"/>
        </w:rPr>
        <w:t>למעשה חודשו ההליכים נגד הנאשם</w:t>
      </w:r>
      <w:r>
        <w:rPr>
          <w:rtl w:val="true"/>
        </w:rPr>
        <w:t xml:space="preserve">. </w:t>
      </w:r>
      <w:r>
        <w:rPr>
          <w:rtl w:val="true"/>
        </w:rPr>
        <w:t xml:space="preserve">הנאשם הודה והורשע על פי הודייתו בעבירות שבתיק פלילי </w:t>
      </w:r>
      <w:r>
        <w:rPr/>
        <w:t>2443/07</w:t>
      </w:r>
      <w:r>
        <w:rPr>
          <w:rtl w:val="true"/>
        </w:rPr>
        <w:t xml:space="preserve"> </w:t>
      </w:r>
      <w:r>
        <w:rPr>
          <w:rtl w:val="true"/>
        </w:rPr>
        <w:t>ובטיוטת כתב אישום המתייחסת לשני תיקי חקירה</w:t>
      </w:r>
      <w:r>
        <w:rPr>
          <w:rtl w:val="true"/>
        </w:rPr>
        <w:t xml:space="preserve">. </w:t>
      </w:r>
      <w:r>
        <w:rPr>
          <w:rtl w:val="true"/>
        </w:rPr>
        <w:t>באת כוח הנאשם הגישה טבלה של צירוף תיקים הכוללת למעשה כל תיקיו של הנאשם בהן הודה</w:t>
      </w:r>
      <w:r>
        <w:rPr>
          <w:rtl w:val="true"/>
        </w:rPr>
        <w:t xml:space="preserve">.   </w:t>
      </w:r>
      <w:r>
        <w:rPr>
          <w:rtl w:val="true"/>
        </w:rPr>
        <w:t xml:space="preserve">בדיון שהתקיים לפני ביום </w:t>
      </w:r>
      <w:r>
        <w:rPr/>
        <w:t>11.5.14</w:t>
      </w:r>
      <w:r>
        <w:rPr>
          <w:rtl w:val="true"/>
        </w:rPr>
        <w:t xml:space="preserve"> </w:t>
      </w:r>
      <w:r>
        <w:rPr>
          <w:rtl w:val="true"/>
        </w:rPr>
        <w:t>הודה והורשע הנאשם על פי הודייתו בעבירה שבכתב אישום אשר הוגש בבית המשפט השלום בתל אביב יפו ב</w:t>
      </w:r>
      <w:hyperlink r:id="rId5">
        <w:r>
          <w:rPr>
            <w:rStyle w:val="Hyperlink"/>
            <w:color w:val="0000FF"/>
            <w:u w:val="single"/>
            <w:rtl w:val="true"/>
          </w:rPr>
          <w:t xml:space="preserve">תיק פלילי </w:t>
        </w:r>
        <w:r>
          <w:rPr>
            <w:rStyle w:val="Hyperlink"/>
            <w:color w:val="0000FF"/>
            <w:u w:val="single"/>
          </w:rPr>
          <w:t>7699-12-13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בעבירות של הפרעה לשוטר במילוי תפקידו עבירה מיום </w:t>
      </w:r>
      <w:r>
        <w:rPr/>
        <w:t>17.10.13</w:t>
      </w:r>
      <w:r>
        <w:rPr>
          <w:rtl w:val="true"/>
        </w:rPr>
        <w:t xml:space="preserve">.  </w:t>
      </w:r>
      <w:r>
        <w:rPr>
          <w:rtl w:val="true"/>
        </w:rPr>
        <w:t>לא מצאתי לפרט העבירות בהן הודה והורשע הנאשם</w:t>
      </w:r>
      <w:r>
        <w:rPr>
          <w:rtl w:val="true"/>
        </w:rPr>
        <w:t xml:space="preserve">, </w:t>
      </w:r>
      <w:r>
        <w:rPr>
          <w:rtl w:val="true"/>
        </w:rPr>
        <w:t>שהרי הן מצויות ומפורטות בטבלת צירוף התיקים</w:t>
      </w:r>
      <w:r>
        <w:rPr>
          <w:rtl w:val="true"/>
        </w:rPr>
        <w:t xml:space="preserve">, </w:t>
      </w:r>
      <w:r>
        <w:rPr>
          <w:rtl w:val="true"/>
        </w:rPr>
        <w:t>למעט העבירה של הפרעה לשוטר במילוי תפקידו על פי כתב האישום שהוגש בבית משפט השלום בתל אביב יפו</w:t>
      </w:r>
      <w:r>
        <w:rPr>
          <w:rtl w:val="true"/>
        </w:rPr>
        <w:t xml:space="preserve">, </w:t>
      </w:r>
      <w:r>
        <w:rPr>
          <w:rtl w:val="true"/>
        </w:rPr>
        <w:t>כאמור לעיל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 xml:space="preserve">התמונה הכללית היא שהנאשם ביצע מקבץ רב של עבירות חמורות ביותר ובהן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עבירות התפרצות לדירה וגניבה של רכוש רב ויקר</w:t>
      </w:r>
      <w:r>
        <w:rPr>
          <w:rtl w:val="true"/>
        </w:rPr>
        <w:t xml:space="preserve">, </w:t>
      </w:r>
      <w:r>
        <w:rPr>
          <w:rtl w:val="true"/>
        </w:rPr>
        <w:t>בין אם לבדו ובין עם אחרים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עבר עבירות רכוש נוספות</w:t>
      </w:r>
      <w:r>
        <w:rPr>
          <w:rtl w:val="true"/>
        </w:rPr>
        <w:t xml:space="preserve">. </w:t>
      </w:r>
      <w:r>
        <w:rPr>
          <w:rtl w:val="true"/>
        </w:rPr>
        <w:t xml:space="preserve">יש לציין כי העבירות הללו ביצע הנאשם בין החודשים יוני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 xml:space="preserve">לאוגוסט </w:t>
      </w:r>
      <w:r>
        <w:rPr/>
        <w:t>2007</w:t>
      </w:r>
      <w:r>
        <w:rPr>
          <w:rtl w:val="true"/>
        </w:rPr>
        <w:t xml:space="preserve">. </w:t>
      </w:r>
      <w:r>
        <w:rPr>
          <w:rtl w:val="true"/>
        </w:rPr>
        <w:t>אחר כך</w:t>
      </w:r>
      <w:r>
        <w:rPr>
          <w:rtl w:val="true"/>
        </w:rPr>
        <w:t xml:space="preserve">, </w:t>
      </w:r>
      <w:r>
        <w:rPr>
          <w:rtl w:val="true"/>
        </w:rPr>
        <w:t>לא ביצע הנאשם עבירות בפרק זמן של כ</w:t>
      </w:r>
      <w:r>
        <w:rPr>
          <w:rtl w:val="true"/>
        </w:rPr>
        <w:t xml:space="preserve">- </w:t>
      </w:r>
      <w:r>
        <w:rPr>
          <w:rtl w:val="true"/>
        </w:rPr>
        <w:t xml:space="preserve">שש שנים עת עבר העבירה מיום </w:t>
      </w:r>
      <w:r>
        <w:rPr/>
        <w:t>17.10.13</w:t>
      </w:r>
      <w:r>
        <w:rPr>
          <w:rtl w:val="true"/>
        </w:rPr>
        <w:t xml:space="preserve"> </w:t>
      </w:r>
      <w:r>
        <w:rPr>
          <w:rtl w:val="true"/>
        </w:rPr>
        <w:t>של הפרעה לשוטר עת הזדהה בשם אחר במקום עבודתו</w:t>
      </w:r>
      <w:r>
        <w:rPr>
          <w:rtl w:val="true"/>
        </w:rPr>
        <w:t xml:space="preserve">.  </w:t>
      </w:r>
      <w:r>
        <w:rPr>
          <w:rtl w:val="true"/>
        </w:rPr>
        <w:t>בהתאם להחלטתי הופנה הנאשם לשירות המבחן</w:t>
      </w:r>
      <w:r>
        <w:rPr>
          <w:rtl w:val="true"/>
        </w:rPr>
        <w:t xml:space="preserve">. </w:t>
      </w:r>
      <w:r>
        <w:rPr>
          <w:rtl w:val="true"/>
        </w:rPr>
        <w:t>התקבלו שני תסקירים בעניינו של הנאשם</w:t>
      </w:r>
      <w:r>
        <w:rPr>
          <w:rtl w:val="true"/>
        </w:rPr>
        <w:t xml:space="preserve">. </w:t>
      </w:r>
      <w:r>
        <w:rPr>
          <w:rtl w:val="true"/>
        </w:rPr>
        <w:t>בראשון בחן שירות המבחן נסיבותיו של הנאשם</w:t>
      </w:r>
      <w:r>
        <w:rPr>
          <w:rtl w:val="true"/>
        </w:rPr>
        <w:t xml:space="preserve">, </w:t>
      </w:r>
      <w:r>
        <w:rPr>
          <w:rtl w:val="true"/>
        </w:rPr>
        <w:t>וביקש לדחות הדיון על מנת להעמיק הקשר עמו</w:t>
      </w:r>
      <w:r>
        <w:rPr>
          <w:rtl w:val="true"/>
        </w:rPr>
        <w:t xml:space="preserve">. </w:t>
      </w:r>
      <w:r>
        <w:rPr>
          <w:rtl w:val="true"/>
        </w:rPr>
        <w:t>התסקיר השני</w:t>
      </w:r>
      <w:r>
        <w:rPr>
          <w:rtl w:val="true"/>
        </w:rPr>
        <w:t xml:space="preserve">, </w:t>
      </w:r>
      <w:r>
        <w:rPr>
          <w:rtl w:val="true"/>
        </w:rPr>
        <w:t>הוא התסקיר המשלים</w:t>
      </w:r>
      <w:r>
        <w:rPr>
          <w:rtl w:val="true"/>
        </w:rPr>
        <w:t xml:space="preserve">. </w:t>
      </w:r>
      <w:r>
        <w:rPr>
          <w:rtl w:val="true"/>
        </w:rPr>
        <w:t>שירות המבחן כדרכו</w:t>
      </w:r>
      <w:r>
        <w:rPr>
          <w:rtl w:val="true"/>
        </w:rPr>
        <w:t xml:space="preserve">, </w:t>
      </w:r>
      <w:r>
        <w:rPr>
          <w:rtl w:val="true"/>
        </w:rPr>
        <w:t>ובמקרה מיוחד זה</w:t>
      </w:r>
      <w:r>
        <w:rPr>
          <w:rtl w:val="true"/>
        </w:rPr>
        <w:t xml:space="preserve">, </w:t>
      </w:r>
      <w:r>
        <w:rPr>
          <w:rtl w:val="true"/>
        </w:rPr>
        <w:t>גם כן</w:t>
      </w:r>
      <w:r>
        <w:rPr>
          <w:rtl w:val="true"/>
        </w:rPr>
        <w:t xml:space="preserve">, </w:t>
      </w:r>
      <w:r>
        <w:rPr>
          <w:rtl w:val="true"/>
        </w:rPr>
        <w:t>פרט כל הנסיבות</w:t>
      </w:r>
      <w:r>
        <w:rPr>
          <w:rtl w:val="true"/>
        </w:rPr>
        <w:t xml:space="preserve">, </w:t>
      </w:r>
      <w:r>
        <w:rPr>
          <w:rtl w:val="true"/>
        </w:rPr>
        <w:t>העובדות והנתונים הרלבנטיים לעניין</w:t>
      </w:r>
      <w:r>
        <w:rPr>
          <w:rtl w:val="true"/>
        </w:rPr>
        <w:t xml:space="preserve">. </w:t>
      </w:r>
      <w:r>
        <w:rPr>
          <w:rtl w:val="true"/>
        </w:rPr>
        <w:t>סופו של דבר ששירות המבחן המליץ על השתת מאסר על תנאי וחיוב הנאשם בשל</w:t>
      </w:r>
      <w:r>
        <w:rPr>
          <w:rtl w:val="true"/>
        </w:rPr>
        <w:t>''</w:t>
      </w:r>
      <w:r>
        <w:rPr>
          <w:rtl w:val="true"/>
        </w:rPr>
        <w:t>צ</w:t>
      </w:r>
      <w:r>
        <w:rPr>
          <w:rtl w:val="true"/>
        </w:rPr>
        <w:t xml:space="preserve">.  </w:t>
      </w:r>
      <w:r>
        <w:rPr>
          <w:rtl w:val="true"/>
        </w:rPr>
        <w:t>טיעונים לעונש</w:t>
      </w:r>
      <w:r>
        <w:rPr>
          <w:rtl w:val="true"/>
        </w:rPr>
        <w:t xml:space="preserve">.  </w:t>
      </w:r>
      <w:r>
        <w:rPr>
          <w:rtl w:val="true"/>
        </w:rPr>
        <w:t>בא כוח התביעה ביקש להסיר הערפל המצוי בתיק זה והוא ערפל של כ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שנים אשר חלפו מאז החל הנאשם בביצוע העבירות</w:t>
      </w:r>
      <w:r>
        <w:rPr>
          <w:rtl w:val="true"/>
        </w:rPr>
        <w:t xml:space="preserve">. </w:t>
      </w:r>
      <w:r>
        <w:rPr>
          <w:rtl w:val="true"/>
        </w:rPr>
        <w:t>לפי דברי התובע אין לתת לחלוף הזמן משקל עת נגזר דינו של הנאשם</w:t>
      </w:r>
      <w:r>
        <w:rPr>
          <w:rtl w:val="true"/>
        </w:rPr>
        <w:t xml:space="preserve">, </w:t>
      </w:r>
      <w:r>
        <w:rPr>
          <w:rtl w:val="true"/>
        </w:rPr>
        <w:t>וכל כך משום שהנאשם נימלט במשך כל השנים מאימת הדין</w:t>
      </w:r>
      <w:r>
        <w:rPr>
          <w:rtl w:val="true"/>
        </w:rPr>
        <w:t xml:space="preserve">. </w:t>
      </w:r>
      <w:r>
        <w:rPr>
          <w:rtl w:val="true"/>
        </w:rPr>
        <w:t>ומדוע יש לתת פרס לאדם שנמלט מהדין</w:t>
      </w:r>
      <w:r>
        <w:rPr>
          <w:rtl w:val="true"/>
        </w:rPr>
        <w:t xml:space="preserve">. </w:t>
      </w:r>
      <w:r>
        <w:rPr>
          <w:rtl w:val="true"/>
        </w:rPr>
        <w:t>בא כוח התביעה הציג לבית המשפט תמונותיו של הנאשם אז וכיום על מנת להצביע על השוני הרב בחזותו של הנאשם</w:t>
      </w:r>
      <w:r>
        <w:rPr>
          <w:rtl w:val="true"/>
        </w:rPr>
        <w:t xml:space="preserve">, </w:t>
      </w:r>
      <w:r>
        <w:rPr>
          <w:rtl w:val="true"/>
        </w:rPr>
        <w:t>כבסיס לטענת ההימלטות מן הדין</w:t>
      </w:r>
      <w:r>
        <w:rPr>
          <w:rtl w:val="true"/>
        </w:rPr>
        <w:t xml:space="preserve">. </w:t>
      </w:r>
      <w:r>
        <w:rPr>
          <w:rtl w:val="true"/>
        </w:rPr>
        <w:t>לפיכך לפי גישה זו</w:t>
      </w:r>
      <w:r>
        <w:rPr>
          <w:rtl w:val="true"/>
        </w:rPr>
        <w:t xml:space="preserve">, </w:t>
      </w:r>
      <w:r>
        <w:rPr>
          <w:rtl w:val="true"/>
        </w:rPr>
        <w:t>יש לדון הנאשם בגין מעשיו החמורים בלבד בלי לקחת בחשבון חלוף הזמן</w:t>
      </w:r>
      <w:r>
        <w:rPr>
          <w:rtl w:val="true"/>
        </w:rPr>
        <w:t xml:space="preserve">. </w:t>
      </w:r>
      <w:r>
        <w:rPr>
          <w:rtl w:val="true"/>
        </w:rPr>
        <w:t>ומשכך</w:t>
      </w:r>
      <w:r>
        <w:rPr>
          <w:rtl w:val="true"/>
        </w:rPr>
        <w:t xml:space="preserve">, </w:t>
      </w:r>
      <w:r>
        <w:rPr>
          <w:rtl w:val="true"/>
        </w:rPr>
        <w:t>הרי שיש להחמיר בעונשו של הנאשם לנוכח העבירות החמורות שביצע ולנוכח ריבוין של העבירות</w:t>
      </w:r>
      <w:r>
        <w:rPr>
          <w:rtl w:val="true"/>
        </w:rPr>
        <w:t xml:space="preserve">.   </w:t>
      </w:r>
      <w:r>
        <w:rPr>
          <w:rtl w:val="true"/>
        </w:rPr>
        <w:t>באת כוח הנאשם ביקשה להקל עמו</w:t>
      </w:r>
      <w:r>
        <w:rPr>
          <w:rtl w:val="true"/>
        </w:rPr>
        <w:t xml:space="preserve">. </w:t>
      </w:r>
      <w:r>
        <w:rPr>
          <w:rtl w:val="true"/>
        </w:rPr>
        <w:t>עיקר טיעוניה הוא בשינוי המשמעותי שעבר הנאשם בחלוף כל אותן שנים</w:t>
      </w:r>
      <w:r>
        <w:rPr>
          <w:rtl w:val="true"/>
        </w:rPr>
        <w:t xml:space="preserve">. </w:t>
      </w:r>
      <w:r>
        <w:rPr>
          <w:rtl w:val="true"/>
        </w:rPr>
        <w:t>מאדם מכור לסמים</w:t>
      </w:r>
      <w:r>
        <w:rPr>
          <w:rtl w:val="true"/>
        </w:rPr>
        <w:t xml:space="preserve">, </w:t>
      </w:r>
      <w:r>
        <w:rPr>
          <w:rtl w:val="true"/>
        </w:rPr>
        <w:t>עבריין החי בשולי החברה פורץ לדירות וגונב רכוש בעליהן</w:t>
      </w:r>
      <w:r>
        <w:rPr>
          <w:rtl w:val="true"/>
        </w:rPr>
        <w:t xml:space="preserve">, </w:t>
      </w:r>
      <w:r>
        <w:rPr>
          <w:rtl w:val="true"/>
        </w:rPr>
        <w:t>לאדם עובד</w:t>
      </w:r>
      <w:r>
        <w:rPr>
          <w:rtl w:val="true"/>
        </w:rPr>
        <w:t xml:space="preserve">, </w:t>
      </w:r>
      <w:r>
        <w:rPr>
          <w:rtl w:val="true"/>
        </w:rPr>
        <w:t>נשוי המצפה לילד בתקופה הנוכחית</w:t>
      </w:r>
      <w:r>
        <w:rPr>
          <w:rtl w:val="true"/>
        </w:rPr>
        <w:t xml:space="preserve">. </w:t>
      </w:r>
      <w:r>
        <w:rPr>
          <w:rtl w:val="true"/>
        </w:rPr>
        <w:t>לדבריה מדובר באדם ששיקם עצמו</w:t>
      </w:r>
      <w:r>
        <w:rPr>
          <w:rtl w:val="true"/>
        </w:rPr>
        <w:t xml:space="preserve">. </w:t>
      </w:r>
      <w:r>
        <w:rPr>
          <w:rtl w:val="true"/>
        </w:rPr>
        <w:t>באשר לטענת ההימלטות מן הדין</w:t>
      </w:r>
      <w:r>
        <w:rPr>
          <w:rtl w:val="true"/>
        </w:rPr>
        <w:t xml:space="preserve">, </w:t>
      </w:r>
      <w:r>
        <w:rPr>
          <w:rtl w:val="true"/>
        </w:rPr>
        <w:t>טענה באת כוח הנאשם כי הנאשם גורש על ידי בני משפחתו אשר התנגדו לאורח חייו העברייני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מצא הנאשם לסייע לעצמו</w:t>
      </w:r>
      <w:r>
        <w:rPr>
          <w:rtl w:val="true"/>
        </w:rPr>
        <w:t xml:space="preserve">, </w:t>
      </w:r>
      <w:r>
        <w:rPr>
          <w:rtl w:val="true"/>
        </w:rPr>
        <w:t>חזר למוטב</w:t>
      </w:r>
      <w:r>
        <w:rPr>
          <w:rtl w:val="true"/>
        </w:rPr>
        <w:t xml:space="preserve">, </w:t>
      </w:r>
      <w:r>
        <w:rPr>
          <w:rtl w:val="true"/>
        </w:rPr>
        <w:t>מצא עבודה</w:t>
      </w:r>
      <w:r>
        <w:rPr>
          <w:rtl w:val="true"/>
        </w:rPr>
        <w:t xml:space="preserve">, </w:t>
      </w:r>
      <w:r>
        <w:rPr>
          <w:rtl w:val="true"/>
        </w:rPr>
        <w:t>מפרנס עצמו</w:t>
      </w:r>
      <w:r>
        <w:rPr>
          <w:rtl w:val="true"/>
        </w:rPr>
        <w:t xml:space="preserve">, </w:t>
      </w:r>
      <w:r>
        <w:rPr>
          <w:rtl w:val="true"/>
        </w:rPr>
        <w:t>ובעניין זה מצאה לסמוך על דברי מעבידו שהעיד כחלק מהעדויות להקלה בדין</w:t>
      </w:r>
      <w:r>
        <w:rPr>
          <w:rtl w:val="true"/>
        </w:rPr>
        <w:t xml:space="preserve">.   </w:t>
      </w:r>
      <w:r>
        <w:rPr>
          <w:rtl w:val="true"/>
        </w:rPr>
        <w:t>דיון והכרעה</w:t>
      </w:r>
      <w:r>
        <w:rPr>
          <w:rtl w:val="true"/>
        </w:rPr>
        <w:t xml:space="preserve">.  </w:t>
      </w:r>
      <w:r>
        <w:rPr>
          <w:rtl w:val="true"/>
        </w:rPr>
        <w:t>בפתח הדברים מצאתי לציין כי המקרה שלפני מיוחד</w:t>
      </w:r>
      <w:r>
        <w:rPr>
          <w:rtl w:val="true"/>
        </w:rPr>
        <w:t xml:space="preserve">. </w:t>
      </w:r>
      <w:r>
        <w:rPr>
          <w:rtl w:val="true"/>
        </w:rPr>
        <w:t>ראשית לכל</w:t>
      </w:r>
      <w:r>
        <w:rPr>
          <w:rtl w:val="true"/>
        </w:rPr>
        <w:t xml:space="preserve">, </w:t>
      </w:r>
      <w:r>
        <w:rPr>
          <w:rtl w:val="true"/>
        </w:rPr>
        <w:t>אניח שתי הנחות יסוד</w:t>
      </w:r>
      <w:r>
        <w:rPr>
          <w:rtl w:val="true"/>
        </w:rPr>
        <w:t xml:space="preserve">. </w:t>
      </w:r>
      <w:r>
        <w:rPr>
          <w:rtl w:val="true"/>
        </w:rPr>
        <w:t>האחת שאילו היה הנאשם נדון לפני סמוך לביצוע העבירות הרי שעונשו היה חמור ביותר</w:t>
      </w:r>
      <w:r>
        <w:rPr>
          <w:rtl w:val="true"/>
        </w:rPr>
        <w:t xml:space="preserve">. </w:t>
      </w:r>
      <w:r>
        <w:rPr>
          <w:rtl w:val="true"/>
        </w:rPr>
        <w:t>עבירות ההתפרצות לדירה וגניבת רכוש בעליה</w:t>
      </w:r>
      <w:r>
        <w:rPr>
          <w:rtl w:val="true"/>
        </w:rPr>
        <w:t xml:space="preserve">, </w:t>
      </w:r>
      <w:r>
        <w:rPr>
          <w:rtl w:val="true"/>
        </w:rPr>
        <w:t>הן עבירות חמורות שבמקרים רבים אחרים הוחמר הדין עם מבצעיהן</w:t>
      </w:r>
      <w:r>
        <w:rPr>
          <w:rtl w:val="true"/>
        </w:rPr>
        <w:t xml:space="preserve">. </w:t>
      </w:r>
      <w:r>
        <w:rPr>
          <w:rtl w:val="true"/>
        </w:rPr>
        <w:t xml:space="preserve">אומנם העבירות שעבר הנאשם בוצעו בטרם 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המחייב לקבוע מתחם עונש הולם במספרי חודשים או שנים</w:t>
      </w:r>
      <w:r>
        <w:rPr>
          <w:rtl w:val="true"/>
        </w:rPr>
        <w:t xml:space="preserve">, </w:t>
      </w:r>
      <w:r>
        <w:rPr>
          <w:rtl w:val="true"/>
        </w:rPr>
        <w:t>אך ניתן לומר בביטחה רבה כי גם בטרם תיקון זה לחוק עונשו של הנאשם היה למשך מספר שנות מאסר</w:t>
      </w:r>
      <w:r>
        <w:rPr>
          <w:rtl w:val="true"/>
        </w:rPr>
        <w:t xml:space="preserve">.  </w:t>
      </w:r>
      <w:r>
        <w:rPr>
          <w:rtl w:val="true"/>
        </w:rPr>
        <w:t>הנחה שנייה היא שכשיטת התביעה</w:t>
      </w:r>
      <w:r>
        <w:rPr>
          <w:rtl w:val="true"/>
        </w:rPr>
        <w:t xml:space="preserve">, </w:t>
      </w:r>
      <w:r>
        <w:rPr>
          <w:rtl w:val="true"/>
        </w:rPr>
        <w:t>אילו אכן</w:t>
      </w:r>
      <w:r>
        <w:rPr>
          <w:rtl w:val="true"/>
        </w:rPr>
        <w:t xml:space="preserve">, </w:t>
      </w:r>
      <w:r>
        <w:rPr>
          <w:rtl w:val="true"/>
        </w:rPr>
        <w:t>הייתי בא לכלל מסקנה שחלוף הזמן אינו אלא תוצאה של הימלטות הנאשם מאימת הדין</w:t>
      </w:r>
      <w:r>
        <w:rPr>
          <w:rtl w:val="true"/>
        </w:rPr>
        <w:t xml:space="preserve">, </w:t>
      </w:r>
      <w:r>
        <w:rPr>
          <w:rtl w:val="true"/>
        </w:rPr>
        <w:t>וכי אורח חייו העברייני נותר כמות שהוא אזי היה מקום להחמיר עמו בעונש גם בחלוף זמן רב</w:t>
      </w:r>
      <w:r>
        <w:rPr>
          <w:rtl w:val="true"/>
        </w:rPr>
        <w:t xml:space="preserve">,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כפי המקרה שלפני</w:t>
      </w:r>
      <w:r>
        <w:rPr>
          <w:rtl w:val="true"/>
        </w:rPr>
        <w:t xml:space="preserve">.  </w:t>
      </w:r>
      <w:r>
        <w:rPr>
          <w:rtl w:val="true"/>
        </w:rPr>
        <w:t xml:space="preserve">אלא שאני מקבל כהנחת יסוד שבמשך השנים שחלפו מצא הנאשם דרכו השונה מדרך העבריינות שאפיינה אותו בשנים </w:t>
      </w:r>
      <w:r>
        <w:rPr/>
        <w:t>2006</w:t>
      </w:r>
      <w:r>
        <w:rPr>
          <w:rtl w:val="true"/>
        </w:rPr>
        <w:t xml:space="preserve">   </w:t>
      </w:r>
      <w:r>
        <w:rPr/>
        <w:t>2007</w:t>
      </w:r>
      <w:r>
        <w:rPr>
          <w:rtl w:val="true"/>
        </w:rPr>
        <w:t xml:space="preserve">. </w:t>
      </w:r>
      <w:r>
        <w:rPr>
          <w:rtl w:val="true"/>
        </w:rPr>
        <w:t>מסקנתי זו נסמכת על שלושה אדנים</w:t>
      </w:r>
      <w:r>
        <w:rPr>
          <w:rtl w:val="true"/>
        </w:rPr>
        <w:t xml:space="preserve">. </w:t>
      </w:r>
      <w:r>
        <w:rPr>
          <w:rtl w:val="true"/>
        </w:rPr>
        <w:t>האחד האמור והמומלץ על ידי שירות המבחן</w:t>
      </w:r>
      <w:r>
        <w:rPr>
          <w:rtl w:val="true"/>
        </w:rPr>
        <w:t xml:space="preserve">, </w:t>
      </w:r>
      <w:r>
        <w:rPr>
          <w:rtl w:val="true"/>
        </w:rPr>
        <w:t>בתסקירים האחרונים השונים שוני מהותי מהתרשמות שירות המבחן מלפני כשש שנים</w:t>
      </w:r>
      <w:r>
        <w:rPr>
          <w:rtl w:val="true"/>
        </w:rPr>
        <w:t xml:space="preserve">, </w:t>
      </w:r>
      <w:r>
        <w:rPr>
          <w:rtl w:val="true"/>
        </w:rPr>
        <w:t>השני מהתרשמותי מדברי מעסיקו של הנאשם</w:t>
      </w:r>
      <w:r>
        <w:rPr>
          <w:rtl w:val="true"/>
        </w:rPr>
        <w:t xml:space="preserve">, </w:t>
      </w:r>
      <w:r>
        <w:rPr>
          <w:rtl w:val="true"/>
        </w:rPr>
        <w:t>שהעיד לפני וסיפר נסיבות שיקומו של הנאשם במציאת עבודה</w:t>
      </w:r>
      <w:r>
        <w:rPr>
          <w:rtl w:val="true"/>
        </w:rPr>
        <w:t xml:space="preserve">, </w:t>
      </w:r>
      <w:r>
        <w:rPr>
          <w:rtl w:val="true"/>
        </w:rPr>
        <w:t>ברצינותו בעבודה ובאורח חייו השונה מזה שהיה לפני שנים</w:t>
      </w:r>
      <w:r>
        <w:rPr>
          <w:rtl w:val="true"/>
        </w:rPr>
        <w:t xml:space="preserve">, </w:t>
      </w:r>
      <w:r>
        <w:rPr>
          <w:rtl w:val="true"/>
        </w:rPr>
        <w:t>והשלישי הוא התרשמותי מהנאשם ומאשתו עת שמעתי דבריהם בתום סיכומי הצדדים לעונש</w:t>
      </w:r>
      <w:r>
        <w:rPr>
          <w:rtl w:val="true"/>
        </w:rPr>
        <w:t xml:space="preserve">. </w:t>
      </w:r>
      <w:r>
        <w:rPr>
          <w:rtl w:val="true"/>
        </w:rPr>
        <w:t>התרשמתי כי כיום הנאשם מצוי במקום אחר לחלוטין מזה שהיה לפני שנים</w:t>
      </w:r>
      <w:r>
        <w:rPr>
          <w:rtl w:val="true"/>
        </w:rPr>
        <w:t xml:space="preserve">. </w:t>
      </w:r>
      <w:r>
        <w:rPr>
          <w:rtl w:val="true"/>
        </w:rPr>
        <w:t>וכאן המקום להדגיש</w:t>
      </w:r>
      <w:r>
        <w:rPr>
          <w:rtl w:val="true"/>
        </w:rPr>
        <w:t xml:space="preserve">, </w:t>
      </w:r>
      <w:r>
        <w:rPr>
          <w:rtl w:val="true"/>
        </w:rPr>
        <w:t>אילו היה הנאשם ממשיך במשך השנים התנהלותו העבריינית</w:t>
      </w:r>
      <w:r>
        <w:rPr>
          <w:rtl w:val="true"/>
        </w:rPr>
        <w:t xml:space="preserve">, </w:t>
      </w:r>
      <w:r>
        <w:rPr>
          <w:rtl w:val="true"/>
        </w:rPr>
        <w:t>בעיקר ממשיך התמכרותו לסמים</w:t>
      </w:r>
      <w:r>
        <w:rPr>
          <w:rtl w:val="true"/>
        </w:rPr>
        <w:t xml:space="preserve">, </w:t>
      </w:r>
      <w:r>
        <w:rPr>
          <w:rtl w:val="true"/>
        </w:rPr>
        <w:t>תמונת המצב הייתה שונה</w:t>
      </w:r>
      <w:r>
        <w:rPr>
          <w:rtl w:val="true"/>
        </w:rPr>
        <w:t xml:space="preserve">. </w:t>
      </w:r>
      <w:r>
        <w:rPr>
          <w:rtl w:val="true"/>
        </w:rPr>
        <w:t>ניסיון החיים והניסיון השיפוטי במשך השנים מלמד כי היה הנאשם עובר עבירות ואלה היו באות לידי ביטוי ברישומים הפליליים שלו</w:t>
      </w:r>
      <w:r>
        <w:rPr>
          <w:rtl w:val="true"/>
        </w:rPr>
        <w:t xml:space="preserve">. </w:t>
      </w:r>
      <w:r>
        <w:rPr>
          <w:rtl w:val="true"/>
        </w:rPr>
        <w:t>אלא שמהעובדות שבאו לפני עולה כי מלבד העבירה של הפרעה לשוטר בנסיבות של חששו של הנאשם משוטרים שבאו לאתרו</w:t>
      </w:r>
      <w:r>
        <w:rPr>
          <w:rtl w:val="true"/>
        </w:rPr>
        <w:t xml:space="preserve">, </w:t>
      </w:r>
      <w:r>
        <w:rPr>
          <w:rtl w:val="true"/>
        </w:rPr>
        <w:t>בעודו רואה עצמו בונה חייו בדרך שונה מן העבר</w:t>
      </w:r>
      <w:r>
        <w:rPr>
          <w:rtl w:val="true"/>
        </w:rPr>
        <w:t xml:space="preserve">, </w:t>
      </w:r>
      <w:r>
        <w:rPr>
          <w:rtl w:val="true"/>
        </w:rPr>
        <w:t>התחזה בשם אחר</w:t>
      </w:r>
      <w:r>
        <w:rPr>
          <w:rtl w:val="true"/>
        </w:rPr>
        <w:t xml:space="preserve">, </w:t>
      </w:r>
      <w:r>
        <w:rPr>
          <w:rtl w:val="true"/>
        </w:rPr>
        <w:t>לא ביצע הנאשם כל עבירה שהיא</w:t>
      </w:r>
      <w:r>
        <w:rPr>
          <w:rtl w:val="true"/>
        </w:rPr>
        <w:t xml:space="preserve">,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כזו שבאה לידי ביטוי בגיליון הרישום הפלילי</w:t>
      </w:r>
      <w:r>
        <w:rPr>
          <w:rtl w:val="true"/>
        </w:rPr>
        <w:t xml:space="preserve">.  </w:t>
      </w:r>
      <w:r>
        <w:rPr>
          <w:rtl w:val="true"/>
        </w:rPr>
        <w:t>ככל שבשיקומו של עבריין עסקינן</w:t>
      </w:r>
      <w:r>
        <w:rPr>
          <w:rtl w:val="true"/>
        </w:rPr>
        <w:t xml:space="preserve">, </w:t>
      </w:r>
      <w:r>
        <w:rPr>
          <w:rtl w:val="true"/>
        </w:rPr>
        <w:t>וכידוע</w:t>
      </w:r>
      <w:r>
        <w:rPr>
          <w:rtl w:val="true"/>
        </w:rPr>
        <w:t xml:space="preserve">, </w:t>
      </w:r>
      <w:r>
        <w:rPr>
          <w:rtl w:val="true"/>
        </w:rPr>
        <w:t>מרכיב השיקום חשוב ביותר במסגרת הענישה הפלילית</w:t>
      </w:r>
      <w:r>
        <w:rPr>
          <w:rtl w:val="true"/>
        </w:rPr>
        <w:t xml:space="preserve">, </w:t>
      </w:r>
      <w:r>
        <w:rPr>
          <w:rtl w:val="true"/>
        </w:rPr>
        <w:t>אני סבור כי במקרה שלפני יש להעדיף השיקום על פני ההחמרה בענישה</w:t>
      </w:r>
      <w:r>
        <w:rPr>
          <w:rtl w:val="true"/>
        </w:rPr>
        <w:t xml:space="preserve">. </w:t>
      </w:r>
      <w:r>
        <w:rPr>
          <w:rtl w:val="true"/>
        </w:rPr>
        <w:t>שהרי האינטרס הציבורי הוא שעבריין יחדל מעבריינותו</w:t>
      </w:r>
      <w:r>
        <w:rPr>
          <w:rtl w:val="true"/>
        </w:rPr>
        <w:t xml:space="preserve">, </w:t>
      </w:r>
      <w:r>
        <w:rPr>
          <w:rtl w:val="true"/>
        </w:rPr>
        <w:t>וככל שכך ייעשה יצא הציבור נשכר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למרות חומרת העבירות שביצע הנאשם</w:t>
      </w:r>
      <w:r>
        <w:rPr>
          <w:rtl w:val="true"/>
        </w:rPr>
        <w:t xml:space="preserve">, </w:t>
      </w:r>
      <w:r>
        <w:rPr>
          <w:rtl w:val="true"/>
        </w:rPr>
        <w:t>לפני כשמונה שנים</w:t>
      </w:r>
      <w:r>
        <w:rPr>
          <w:rtl w:val="true"/>
        </w:rPr>
        <w:t xml:space="preserve">, </w:t>
      </w:r>
      <w:r>
        <w:rPr>
          <w:rtl w:val="true"/>
        </w:rPr>
        <w:t>הרי שבנסיבות המקרה</w:t>
      </w:r>
      <w:r>
        <w:rPr>
          <w:rtl w:val="true"/>
        </w:rPr>
        <w:t xml:space="preserve">, </w:t>
      </w:r>
      <w:r>
        <w:rPr>
          <w:rtl w:val="true"/>
        </w:rPr>
        <w:t>כאשר הגעתי למסקנה כי הנאשם שיקם עצמו בחלוף השנים</w:t>
      </w:r>
      <w:r>
        <w:rPr>
          <w:rtl w:val="true"/>
        </w:rPr>
        <w:t xml:space="preserve">, </w:t>
      </w:r>
      <w:r>
        <w:rPr>
          <w:rtl w:val="true"/>
        </w:rPr>
        <w:t>וכי ענישה מכבידה של מאסר תסיג הנאשם אחור</w:t>
      </w:r>
      <w:r>
        <w:rPr>
          <w:rtl w:val="true"/>
        </w:rPr>
        <w:t xml:space="preserve">, </w:t>
      </w:r>
      <w:r>
        <w:rPr>
          <w:rtl w:val="true"/>
        </w:rPr>
        <w:t>במיוחד לנוכח התא המשפחתי שהקים</w:t>
      </w:r>
      <w:r>
        <w:rPr>
          <w:rtl w:val="true"/>
        </w:rPr>
        <w:t xml:space="preserve">, </w:t>
      </w:r>
      <w:r>
        <w:rPr>
          <w:rtl w:val="true"/>
        </w:rPr>
        <w:t>נשא אישה</w:t>
      </w:r>
      <w:r>
        <w:rPr>
          <w:rtl w:val="true"/>
        </w:rPr>
        <w:t xml:space="preserve">, </w:t>
      </w:r>
      <w:r>
        <w:rPr>
          <w:rtl w:val="true"/>
        </w:rPr>
        <w:t>שניהם מצפים לילד</w:t>
      </w:r>
      <w:r>
        <w:rPr>
          <w:rtl w:val="true"/>
        </w:rPr>
        <w:t xml:space="preserve">, </w:t>
      </w:r>
      <w:r>
        <w:rPr>
          <w:rtl w:val="true"/>
        </w:rPr>
        <w:t>עובד הוא ואשתו במקום יציב</w:t>
      </w:r>
      <w:r>
        <w:rPr>
          <w:rtl w:val="true"/>
        </w:rPr>
        <w:t xml:space="preserve">, </w:t>
      </w:r>
      <w:r>
        <w:rPr>
          <w:rtl w:val="true"/>
        </w:rPr>
        <w:t>כשמעבידו תומך בו ומחזק אותו</w:t>
      </w:r>
      <w:r>
        <w:rPr>
          <w:rtl w:val="true"/>
        </w:rPr>
        <w:t xml:space="preserve">, </w:t>
      </w:r>
      <w:r>
        <w:rPr>
          <w:rtl w:val="true"/>
        </w:rPr>
        <w:t>הרי שלגזור על הנאשם בעת הזו מאסר בפועל לא יהא הולם ולדעתי יהיה סותר האינטרס הציבורי</w:t>
      </w:r>
      <w:r>
        <w:rPr>
          <w:rtl w:val="true"/>
        </w:rPr>
        <w:t xml:space="preserve">.  </w:t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אני מקבל התרשמות שירות המבחן בדבר שיקומו של הנאשם ומקבל המלצות השירות</w:t>
      </w:r>
      <w:r>
        <w:rPr>
          <w:rtl w:val="true"/>
        </w:rPr>
        <w:t xml:space="preserve">.  </w:t>
      </w:r>
      <w:r>
        <w:rPr>
          <w:rtl w:val="true"/>
        </w:rPr>
        <w:t>אלה העונשים שאני משית על הנאשם</w:t>
      </w:r>
      <w:r>
        <w:rPr>
          <w:rtl w:val="true"/>
        </w:rPr>
        <w:t xml:space="preserve">: 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 מאסר על תנאי והתנאי הוא שבמשך שלוש שנים מהיום לא יעבור עבירה נגד הרכוש מסוג פשע</w:t>
      </w:r>
      <w:r>
        <w:rPr>
          <w:rtl w:val="true"/>
        </w:rPr>
        <w:t xml:space="preserve">. 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 מאסר על תנאי והתנאי הוא שבמשך שלוש שנים מהיום לא יעבור עבירה נגד הרכוש מסוג עוון</w:t>
      </w:r>
      <w:r>
        <w:rPr>
          <w:rtl w:val="true"/>
        </w:rPr>
        <w:t xml:space="preserve">, </w:t>
      </w:r>
      <w:r>
        <w:rPr>
          <w:rtl w:val="true"/>
        </w:rPr>
        <w:t xml:space="preserve">למעט עבירה לפי </w:t>
      </w:r>
      <w:hyperlink r:id="rId7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413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   החזקת נכס חשוד כגנוב</w:t>
      </w:r>
      <w:r>
        <w:rPr>
          <w:rtl w:val="true"/>
        </w:rPr>
        <w:t xml:space="preserve">.  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 מאסר על תנאי והתנאי הוא שבמשך שלוש שנים מהיום לא יעבור עבירה של הפרעה לשוטר במילוי תפקידו והפרת הוראה חוקית</w:t>
      </w:r>
      <w:r>
        <w:rPr>
          <w:rtl w:val="true"/>
        </w:rPr>
        <w:t xml:space="preserve">.    </w:t>
      </w:r>
      <w:r>
        <w:rPr>
          <w:rtl w:val="true"/>
        </w:rPr>
        <w:t>שירות המבחן המליץ על של</w:t>
      </w:r>
      <w:r>
        <w:rPr>
          <w:rtl w:val="true"/>
        </w:rPr>
        <w:t>''</w:t>
      </w:r>
      <w:r>
        <w:rPr>
          <w:rtl w:val="true"/>
        </w:rPr>
        <w:t xml:space="preserve">צ בהיקף נכבד של שעות   </w:t>
      </w:r>
      <w:r>
        <w:rPr/>
        <w:t>350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. </w:t>
      </w:r>
      <w:r>
        <w:rPr>
          <w:rtl w:val="true"/>
        </w:rPr>
        <w:t>אני מקבל המלצה זו</w:t>
      </w:r>
      <w:r>
        <w:rPr>
          <w:rtl w:val="true"/>
        </w:rPr>
        <w:t xml:space="preserve">. </w:t>
      </w:r>
      <w:r>
        <w:rPr>
          <w:rtl w:val="true"/>
        </w:rPr>
        <w:t>השל</w:t>
      </w:r>
      <w:r>
        <w:rPr>
          <w:rtl w:val="true"/>
        </w:rPr>
        <w:t>''</w:t>
      </w:r>
      <w:r>
        <w:rPr>
          <w:rtl w:val="true"/>
        </w:rPr>
        <w:t>צ הינו מבחן נוסף שיהיה בעתיד כדי להראות אם אכן</w:t>
      </w:r>
      <w:r>
        <w:rPr>
          <w:rtl w:val="true"/>
        </w:rPr>
        <w:t xml:space="preserve">, </w:t>
      </w:r>
      <w:r>
        <w:rPr>
          <w:rtl w:val="true"/>
        </w:rPr>
        <w:t>הנחות היסוד שבבסיס ההקלה בדין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לעיל במקומן</w:t>
      </w:r>
      <w:r>
        <w:rPr>
          <w:rtl w:val="true"/>
        </w:rPr>
        <w:t xml:space="preserve">.   </w:t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אני מחייב הנאשם לבצע של</w:t>
      </w:r>
      <w:r>
        <w:rPr>
          <w:rtl w:val="true"/>
        </w:rPr>
        <w:t>''</w:t>
      </w:r>
      <w:r>
        <w:rPr>
          <w:rtl w:val="true"/>
        </w:rPr>
        <w:t xml:space="preserve">צ בהיקף של </w:t>
      </w:r>
      <w:r>
        <w:rPr/>
        <w:t>350</w:t>
      </w:r>
      <w:r>
        <w:rPr>
          <w:rtl w:val="true"/>
        </w:rPr>
        <w:t xml:space="preserve"> </w:t>
      </w:r>
      <w:r>
        <w:rPr>
          <w:rtl w:val="true"/>
        </w:rPr>
        <w:t>שעות על פי תכנית שתוכן עבורו על ידי שירות המבחן</w:t>
      </w:r>
      <w:r>
        <w:rPr>
          <w:rtl w:val="true"/>
        </w:rPr>
        <w:t xml:space="preserve">. </w:t>
      </w:r>
      <w:r>
        <w:rPr>
          <w:rtl w:val="true"/>
        </w:rPr>
        <w:t>הסברתי לנאשם בלשון פשוטה</w:t>
      </w:r>
      <w:r>
        <w:rPr>
          <w:rtl w:val="true"/>
        </w:rPr>
        <w:t xml:space="preserve">, </w:t>
      </w:r>
      <w:r>
        <w:rPr>
          <w:rtl w:val="true"/>
        </w:rPr>
        <w:t>משמעות השל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, </w:t>
      </w:r>
      <w:r>
        <w:rPr>
          <w:rtl w:val="true"/>
        </w:rPr>
        <w:t>הנאשם הבין והסכים</w:t>
      </w:r>
      <w:r>
        <w:rPr>
          <w:rtl w:val="true"/>
        </w:rPr>
        <w:t xml:space="preserve">.   </w:t>
      </w:r>
      <w:r>
        <w:rPr>
          <w:rtl w:val="true"/>
        </w:rPr>
        <w:t>מהנימוקים להקלה בדין</w:t>
      </w:r>
      <w:r>
        <w:rPr>
          <w:rtl w:val="true"/>
        </w:rPr>
        <w:t xml:space="preserve">, </w:t>
      </w:r>
      <w:r>
        <w:rPr>
          <w:rtl w:val="true"/>
        </w:rPr>
        <w:t>כמפורט לעיל</w:t>
      </w:r>
      <w:r>
        <w:rPr>
          <w:rtl w:val="true"/>
        </w:rPr>
        <w:t xml:space="preserve">, </w:t>
      </w:r>
      <w:r>
        <w:rPr>
          <w:rtl w:val="true"/>
        </w:rPr>
        <w:t>איני משית על הנאשם סנקציה כספית</w:t>
      </w:r>
      <w:r>
        <w:rPr>
          <w:rtl w:val="true"/>
        </w:rPr>
        <w:t xml:space="preserve">.  </w:t>
      </w:r>
      <w:r>
        <w:rPr>
          <w:rtl w:val="true"/>
        </w:rPr>
        <w:t>אני מחייב את הנאשם להיות בצו מבחן למשך שנה</w:t>
      </w:r>
      <w:r>
        <w:rPr>
          <w:rtl w:val="true"/>
        </w:rPr>
        <w:t xml:space="preserve">.   </w:t>
      </w:r>
      <w:r>
        <w:rPr>
          <w:rtl w:val="true"/>
        </w:rPr>
        <w:t>המוצגים</w:t>
      </w:r>
      <w:r>
        <w:rPr>
          <w:rtl w:val="true"/>
        </w:rPr>
        <w:t xml:space="preserve">:  </w:t>
      </w:r>
      <w:r>
        <w:rPr>
          <w:rtl w:val="true"/>
        </w:rPr>
        <w:t>יושמדו</w:t>
      </w:r>
      <w:r>
        <w:rPr>
          <w:rtl w:val="true"/>
        </w:rPr>
        <w:t xml:space="preserve">.  </w:t>
      </w:r>
      <w:r>
        <w:rPr>
          <w:rtl w:val="true"/>
        </w:rPr>
        <w:t>כסף ורכוש יוחזרו לבעלים</w:t>
      </w:r>
      <w:r>
        <w:rPr>
          <w:rtl w:val="true"/>
        </w:rPr>
        <w:t xml:space="preserve">.   </w:t>
      </w:r>
      <w:r>
        <w:rPr>
          <w:rtl w:val="true"/>
        </w:rPr>
        <w:t>עותק מגזר הדין יועבר לשירות המבחן</w:t>
      </w:r>
      <w:r>
        <w:rPr>
          <w:rtl w:val="true"/>
        </w:rPr>
        <w:t xml:space="preserve">.  </w:t>
      </w:r>
      <w:r>
        <w:rPr>
          <w:rtl w:val="true"/>
        </w:rPr>
        <w:t xml:space="preserve">זכות ערעור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 </w:t>
      </w:r>
      <w:r>
        <w:rPr>
          <w:rtl w:val="true"/>
        </w:rPr>
        <w:t>ניתנה והודעה היום ח</w:t>
      </w:r>
      <w:r>
        <w:rPr>
          <w:rtl w:val="true"/>
        </w:rPr>
        <w:t xml:space="preserve">' </w:t>
      </w:r>
      <w:r>
        <w:rPr>
          <w:rtl w:val="true"/>
        </w:rPr>
        <w:t>אייר תשע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, </w:t>
      </w:r>
      <w:r>
        <w:rPr/>
        <w:t>27/04/2015</w:t>
      </w:r>
      <w:r>
        <w:rPr>
          <w:rtl w:val="true"/>
        </w:rPr>
        <w:t xml:space="preserve"> </w:t>
      </w:r>
      <w:r>
        <w:rPr>
          <w:rtl w:val="true"/>
        </w:rPr>
        <w:t>במעמד הנוכחים</w:t>
      </w:r>
      <w:r>
        <w:rPr>
          <w:rtl w:val="true"/>
        </w:rPr>
        <w:t xml:space="preserve">.    </w:t>
      </w:r>
      <w:r>
        <w:rPr>
          <w:rtl w:val="true"/>
        </w:rPr>
        <w:t xml:space="preserve">אברהם הימן </w:t>
      </w:r>
      <w:r>
        <w:rPr>
          <w:rtl w:val="true"/>
        </w:rPr>
        <w:t xml:space="preserve">, </w:t>
      </w:r>
      <w:r>
        <w:rPr>
          <w:rtl w:val="true"/>
        </w:rPr>
        <w:t xml:space="preserve">סגן נשיאה   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יפעת</w:t>
      </w:r>
      <w:r>
        <w:rPr>
          <w:rtl w:val="true"/>
        </w:rPr>
        <w:t xml:space="preserve"> </w:t>
      </w:r>
      <w:r>
        <w:rPr>
          <w:rtl w:val="true"/>
        </w:rPr>
        <w:t>מינאי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אברהם הימן </w:t>
      </w:r>
      <w:r>
        <w:rPr>
          <w:color w:val="000000"/>
          <w:sz w:val="22"/>
          <w:szCs w:val="22"/>
        </w:rPr>
        <w:t>54678313-5020/06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8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9"/>
      <w:footerReference w:type="default" r:id="rId10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ראשל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צ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5020/06</w:t>
    </w:r>
    <w:r>
      <w:rPr>
        <w:color w:val="000000"/>
        <w:sz w:val="22"/>
        <w:szCs w:val="22"/>
        <w:rtl w:val="true"/>
      </w:rPr>
      <w:t xml:space="preserve"> </w:t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תביעות ת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 שלוחת איילון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שלמה דזנשוילי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13" TargetMode="External"/><Relationship Id="rId4" Type="http://schemas.openxmlformats.org/officeDocument/2006/relationships/hyperlink" Target="http://www.nevo.co.il/case/11282176" TargetMode="External"/><Relationship Id="rId5" Type="http://schemas.openxmlformats.org/officeDocument/2006/relationships/hyperlink" Target="http://www.nevo.co.il/case/10498872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413" TargetMode="External"/><Relationship Id="rId8" Type="http://schemas.openxmlformats.org/officeDocument/2006/relationships/hyperlink" Target="http://www.nevo.co.il/advertisements/nevo-100.doc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2015-05-04T12:29:00Z</dcterms:created>
  <dc:creator> </dc:creator>
  <dc:description/>
  <cp:keywords/>
  <dc:language>en-IL</dc:language>
  <cp:lastModifiedBy>hofit</cp:lastModifiedBy>
  <dcterms:modified xsi:type="dcterms:W3CDTF">2015-05-04T12:29:00Z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תביעות ת"א שלוחת איילון</vt:lpwstr>
  </property>
  <property fmtid="{D5CDD505-2E9C-101B-9397-08002B2CF9AE}" pid="3" name="APPELLEE">
    <vt:lpwstr>שלמה דזנשוילי</vt:lpwstr>
  </property>
  <property fmtid="{D5CDD505-2E9C-101B-9397-08002B2CF9AE}" pid="4" name="CASENOTES1">
    <vt:lpwstr>ProcID=209&amp;PartA=2443&amp;PartC=07</vt:lpwstr>
  </property>
  <property fmtid="{D5CDD505-2E9C-101B-9397-08002B2CF9AE}" pid="5" name="CASESLISTTMP1">
    <vt:lpwstr>11282176;10498872</vt:lpwstr>
  </property>
  <property fmtid="{D5CDD505-2E9C-101B-9397-08002B2CF9AE}" pid="6" name="CITY">
    <vt:lpwstr>ראשל"צ</vt:lpwstr>
  </property>
  <property fmtid="{D5CDD505-2E9C-101B-9397-08002B2CF9AE}" pid="7" name="DATE">
    <vt:lpwstr>20150427</vt:lpwstr>
  </property>
  <property fmtid="{D5CDD505-2E9C-101B-9397-08002B2CF9AE}" pid="8" name="JUDGE">
    <vt:lpwstr>אברהם הימן</vt:lpwstr>
  </property>
  <property fmtid="{D5CDD505-2E9C-101B-9397-08002B2CF9AE}" pid="9" name="LAWLISTTMP1">
    <vt:lpwstr>70301/413</vt:lpwstr>
  </property>
  <property fmtid="{D5CDD505-2E9C-101B-9397-08002B2CF9AE}" pid="10" name="LAWYER">
    <vt:lpwstr>אלברט זמנסקי;ו חיה ציון;עת הזדהה;מסקנתי זו נסמכת על שלושה אדנים. האחד האמור והמומלץ שירות המבחן;בתסקירים האחרונים השונים שוני מהותי מהתרשמות שירות המבחן מ כשש שנים;השני מהתרשמותי מדברי מעסיקו של;שהעיד וסיפר נסיבות שיקומו של במציאת עבודה;התחזה אחר;מכל מקום</vt:lpwstr>
  </property>
  <property fmtid="{D5CDD505-2E9C-101B-9397-08002B2CF9AE}" pid="11" name="PROCESS">
    <vt:lpwstr>תפ;תפ</vt:lpwstr>
  </property>
  <property fmtid="{D5CDD505-2E9C-101B-9397-08002B2CF9AE}" pid="12" name="PROCNUM">
    <vt:lpwstr>5020;4905</vt:lpwstr>
  </property>
  <property fmtid="{D5CDD505-2E9C-101B-9397-08002B2CF9AE}" pid="13" name="PROCYEAR">
    <vt:lpwstr>06;06</vt:lpwstr>
  </property>
  <property fmtid="{D5CDD505-2E9C-101B-9397-08002B2CF9AE}" pid="14" name="PSAKDIN">
    <vt:lpwstr>גזר-דין</vt:lpwstr>
  </property>
  <property fmtid="{D5CDD505-2E9C-101B-9397-08002B2CF9AE}" pid="15" name="TYPE">
    <vt:lpwstr>3</vt:lpwstr>
  </property>
  <property fmtid="{D5CDD505-2E9C-101B-9397-08002B2CF9AE}" pid="16" name="TYPE_ABS_DATE">
    <vt:lpwstr>380020150427</vt:lpwstr>
  </property>
  <property fmtid="{D5CDD505-2E9C-101B-9397-08002B2CF9AE}" pid="17" name="TYPE_N_DATE">
    <vt:lpwstr>38020150427</vt:lpwstr>
  </property>
  <property fmtid="{D5CDD505-2E9C-101B-9397-08002B2CF9AE}" pid="18" name="WORDNUMPAGES">
    <vt:lpwstr>3</vt:lpwstr>
  </property>
</Properties>
</file>