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50477-12-22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בוקאעי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בוקאעי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>-</w:t>
      </w:r>
      <w:r>
        <w:rPr>
          <w:rtl w:val="true"/>
        </w:rPr>
        <w:t>זך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חזותית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4.7.2023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הנאשם על פי הודאתו בעבירות של ירי מנשק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סעיף </w:t>
      </w:r>
      <w:hyperlink r:id="rId9"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</w:hyperlink>
      <w:r>
        <w:rPr>
          <w:rFonts w:eastAsia="Calibri" w:cs="David" w:ascii="David" w:hAnsi="David"/>
          <w:rtl w:val="true"/>
        </w:rPr>
        <w:t>)+(</w:t>
      </w:r>
      <w:hyperlink r:id="rId10">
        <w:r>
          <w:rPr>
            <w:rStyle w:val="Hyperlink"/>
            <w:rFonts w:eastAsia="Calibri" w:cs="David" w:ascii="David" w:hAnsi="David"/>
          </w:rPr>
          <w:t>2</w:t>
        </w:r>
      </w:hyperlink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>") (</w:t>
      </w:r>
      <w:r>
        <w:rPr>
          <w:rFonts w:ascii="David" w:hAnsi="David" w:eastAsia="Calibri"/>
          <w:rtl w:val="true"/>
        </w:rPr>
        <w:t>שלוש עבירות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>+</w:t>
      </w:r>
      <w:hyperlink r:id="rId13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הודאת הנאשם ניתנה לאחר שזה חזר בו מכפירתו ולאחר שנשמעו מספר עדי תביעה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bookmarkStart w:id="10" w:name="ABSTRACT_END"/>
      <w:bookmarkEnd w:id="10"/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נאמר כי בזמנים הרלוונטיים התגורר הנאשם לסירוגין עם הוריו ואחיו בביתם בעיר שפרעם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הבית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1.12.2022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החזיק הנאשם אקדח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המתאימה לאקדח וכדורים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 להחזקתם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באקדח שסוגל לירות כדור שבכוחו להמית אדם ואשר מהווה נשק כהגדרתו בחוק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1.12.2022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סמוך לשעה </w:t>
      </w:r>
      <w:r>
        <w:rPr>
          <w:rFonts w:eastAsia="Calibri" w:cs="David" w:ascii="David" w:hAnsi="David"/>
        </w:rPr>
        <w:t>19:53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 הנאשם מפתח הבית אל הרחוב הסמוך כשהוא נושא ומוביל את האקדח הטעון במחסנית ובה כדורים 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וירה שלא כדין מהאקדח באוויר באזור מגורים באופן שיש בו כדי לסכן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אותה עת נכחו בסמוך לנאשם אחיו ואביו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דקה לאחר מכן יצא הנאשם פעם נוספת מהבית אל הרחוב הסמוך וירה פעם נוספת מהאקדח 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במקום נכחו בין היתר אחיו והוריו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הוריו ואחיו של הנאשם אחזו בו כדי למנוע ממנו להמשיך לירות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הנאשם השתחרר מאחיזתם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 וירה באוויר באזור מגורים באופן שיש בו כדי לסכן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נכנס הנאשם אל הבית כשהוא נושא את האקדח והמחסנית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וכעבור דקה יצא ונמלט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במעמד ההודאה ציינה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כי היא מאשרת שבחקירתם של הורי הנאשם במשטרה הם טענו כי עובר לירי אותו ביצע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נשמעו קולות ירי מחוץ לבית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לא נמצאה אינדיקציה ממשית לכך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מטעם המאשימה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מטעם ההגנה העיד אחיו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נור בוקאעי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שסיפר כי בשפרעם אין ביטחון אישי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אלמונים זרקו על הבית בקבוק תבערה אך המשטרה שהגיעה למקום לא עשתה דבר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טיעוניה לעונש הפנתה המאשימה לכך שהודאת הנאשם ניתנה לאחר שנשמעו שמונה עדי תביעה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הנאשם הורשע במספר עבירות בגינן יש לקבוע מתחם ענישה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משום שאלה נעשו ברצף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בפרק זמן קצר יחסית וכחלק מאותה תכנית עבריינית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המאשימה הפנתה לחומרת העבירות המבוצעות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שהתרבו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לא היו נעשות אלמלא הוחזקו נשקים באופן בלתי חוקי בידי אנשים שאינם מורשים ואינם מיומנים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ידי גורמים עברייניים המבצעים שימוש בנשקים אלו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מדובר בתופעה שהפכה למכת מדינה של ממש וכי על בית המשפט לתרום את חלקו למלחמה למען מיגורה בדרך של הטלת עונשים מחמירים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הפנתה המאשימה למגמת ההחמרה הניכרת מפסיקת בתי המשפט בכל הנוגע לעבירות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המאשימה כי הדעת נותנת שמי שמחזיק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בתחמושת ובאביזרים עושה פעולות מקדימות לצורך החזקתם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רכישתם של אלה וקבלתם לידיו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התיאום הכרוך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סוג הנשק שבו מדובר הוא אקדח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הטעון במחסנית המכילה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הנזק שצפוי היה להיגרם מביצוע העבירות היה גבוה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בשים לב לכך שהנאשם ירה באמצעות האקדח בשלוש הזדמנויות שונות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מצוי בתוך שכונת מגורים ומוקף בבני משפחתו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שהפנתה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המאשימה לקבוע כי מתחם העונש ההולם נע 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בצירוף עונשים נלווים בדמות מאסר מותנה וקנס כספי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לכך שהנאשם הורשע אמנם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זו ניתנה לאחר שנשמעו שמונה עדי תביעה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למצבו הפיזי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הסובל מקטיעה באצבעות ידיו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נכותו לא מנעה בעדו מלבצע את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הוסיפה המאשימה כי על אף שהוסכם כי ההגנה תטען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בהסתמך על הודעות הוריו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עובר לירי אותו ביצע הנאשם נשמעו קולות ירי מחוץ לבית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שלא נמצאה כל אינדיקציה לטענה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 מקרה לא נטען כי הירי בוצע לעבר הבית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לגזור את עונשו של הנאשם ברף האמצעי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להודאתו ולהיעדר כל עבר פלילי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מצדו טען כי נסיבות המקרה בענייננו שונות מהמקרים הרגילים של 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כפי שהעיד אחיו של הנאשם וכפי שנטען לאורך ההליך כולו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ביטחונה האישי של משפחת הנאשם היה בכי רע והראיה לכך הירי שבוצע עובר לאירוע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נאמר כי עובדות כתב האישום מלמדות על כך שהירי שנעשה על ידי הנאשם לא הופנה כלפי אדם כלשהו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בוצע לאוויר בצורה כוללנית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מהסרטונים שהוצגו בבית המשפט ניתן לראות כי הנאשם יורה כלפי מעלה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עובדה זו מחזקת את 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לפיה בוצע הירי כתגובה לירי שנעשה קודם לכן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הסנגור לכך שהירי נעשה באמצעות שימוש באקדח ולא ברובה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נשק עוצמתי בהרבה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לנסיבותיו האישיות של הנאשם נאמר כי מדובר במי שסובל מנכות 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ובהקשר זה הוצגו מסמכים מטעם המוסד לביטוח לאומי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המלמדים על אותה נכות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מדובר בנאשם שהודה ואשר הוא נטול כל עבר פלילי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טען כי פסקי הדין אליהם הפנתה המאשימה ומהם ביקשה ללמוד על אודות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אינם דומים בנסיבותיהם לנסיבות האירוע דכאן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ההגנה לקבוע כי מתחם העונש ההולם נע בין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ולהטיל על העונש ברף התחתון נוכח הנסיבות שפורטו ובשים לב להודאתו ולעובדה כי הוא נעדר עבר פלילי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הביע הנאשם צער על הטעות שעשה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מתחם העונש ההולם נקבע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ובקביעתו על בית המשפט להתחשב בערכים החברתיים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14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צורך להכביר במילים לגבי חומרתן של עבירות הנעשות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בשורה ארוכה של פסקי דין עמד בית המשפט על החומרה הרבה הגלומה בעבירות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שביסודן עומדת פגיעה בחיי אדם ובשלמות גופו וכן בביטחון הציבור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3619/19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הלאל ואח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26.5.2021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נאמרו בהקשר זה הדברים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1985" w:leader="none"/>
          <w:tab w:val="left" w:pos="2268" w:leader="none"/>
          <w:tab w:val="left" w:pos="2552" w:leader="none"/>
        </w:tabs>
        <w:spacing w:lineRule="auto" w:line="360"/>
        <w:ind w:start="1418" w:end="142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החזקת נשק חם בידי מי שאינו מורשה לכך עלול להביא לתוצאות הרות אסון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כן העובדה כי לא נגרמה פגיעה בחיי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ראוי להטיל ענישה מוחשית אשר יש בה כדי להרתיע עבריינים פוטנציאליים</w:t>
      </w:r>
      <w:r>
        <w:rPr>
          <w:rFonts w:eastAsia="Calibri" w:cs="Calibri" w:ascii="Calibri" w:hAnsi="Calibri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1985" w:leader="none"/>
          <w:tab w:val="left" w:pos="2268" w:leader="none"/>
          <w:tab w:val="left" w:pos="2552" w:leader="none"/>
        </w:tabs>
        <w:spacing w:lineRule="auto" w:line="360"/>
        <w:ind w:end="142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1985" w:leader="none"/>
          <w:tab w:val="left" w:pos="2268" w:leader="none"/>
          <w:tab w:val="left" w:pos="2552" w:leader="none"/>
        </w:tabs>
        <w:spacing w:lineRule="auto" w:line="360"/>
        <w:ind w:end="142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כן ראו דברים שנאמרו ב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4406/19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סובח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5.11.2019</w:t>
      </w:r>
      <w:r>
        <w:rPr>
          <w:rFonts w:eastAsia="Calibri" w:cs="Calibri" w:ascii="Calibri" w:hAnsi="Calibri"/>
          <w:rtl w:val="true"/>
        </w:rPr>
        <w:t>):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1985" w:leader="none"/>
          <w:tab w:val="left" w:pos="2268" w:leader="none"/>
          <w:tab w:val="left" w:pos="2552" w:leader="none"/>
        </w:tabs>
        <w:spacing w:lineRule="auto" w:line="360"/>
        <w:ind w:start="1418" w:end="142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1985" w:leader="none"/>
          <w:tab w:val="left" w:pos="2268" w:leader="none"/>
          <w:tab w:val="left" w:pos="2552" w:leader="none"/>
        </w:tabs>
        <w:spacing w:lineRule="auto" w:line="360"/>
        <w:ind w:start="1418" w:end="142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היא התשתית 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הגורם בלעדו איין</w:t>
      </w:r>
      <w:r>
        <w:rPr>
          <w:rFonts w:eastAsia="Calibri" w:cs="Calibri" w:ascii="Calibri" w:hAnsi="Calibri"/>
          <w:rtl w:val="true"/>
        </w:rPr>
        <w:t>" (</w:t>
      </w:r>
      <w:r>
        <w:rPr>
          <w:rFonts w:eastAsia="Calibri" w:cs="David" w:ascii="David" w:hAnsi="David"/>
        </w:rPr>
        <w:t>causa sine qua non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למגוון רחב של 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החל בעבירות איומים ושוד מזוין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המשך בעבירות גרימת חבלה חמורה וכלה בעבירות המתה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לעתים קרובות הנשק הבלתי חוקי נרכש מלכתחילה למטרות 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ואף אם הנשק נרכש למטרות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הגנה עצמית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הזמינות של הנשק מעודדת את השימוש בו לביצוע עבירות שונות ולחרפת תוצאותיהן</w:t>
      </w:r>
      <w:r>
        <w:rPr>
          <w:rFonts w:eastAsia="Calibri" w:cs="Calibri" w:ascii="Calibri" w:hAnsi="Calibri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עוד ראו בנדון</w:t>
      </w:r>
      <w:r>
        <w:rPr>
          <w:rFonts w:eastAsia="Calibri" w:cs="Calibri" w:ascii="Calibri" w:hAnsi="Calibri"/>
          <w:rtl w:val="true"/>
        </w:rPr>
        <w:t xml:space="preserve">: 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2033/21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זועבי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30.8.21</w:t>
      </w:r>
      <w:r>
        <w:rPr>
          <w:rFonts w:eastAsia="Calibri" w:cs="Calibri" w:ascii="Calibri" w:hAnsi="Calibri"/>
          <w:rtl w:val="true"/>
        </w:rPr>
        <w:t xml:space="preserve">); 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7473/20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מחאמיד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1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135/17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בסל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08.03.17</w:t>
      </w:r>
      <w:r>
        <w:rPr>
          <w:rFonts w:eastAsia="Calibri" w:cs="Calibri" w:ascii="Calibri" w:hAnsi="Calibri"/>
          <w:rtl w:val="true"/>
        </w:rPr>
        <w:t xml:space="preserve">); 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4079/21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6277/20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היילי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24.3.21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ביטון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14.2.21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2564/19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אזברגה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18.7.19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ממדי תופעת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ניכרת מזה שנים מגמה של החמרה בענישה המוטלת בגין עבירות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שניתן משקל משמעותי לשיקולי ההרתעה בעת גזירת העונש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לדוגמה</w:t>
      </w:r>
      <w:r>
        <w:rPr>
          <w:rFonts w:eastAsia="Calibri" w:cs="David" w:ascii="David" w:hAnsi="David"/>
          <w:rtl w:val="true"/>
        </w:rPr>
        <w:t xml:space="preserve">: 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5807/20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שיבלי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30.12.2020</w:t>
      </w:r>
      <w:r>
        <w:rPr>
          <w:rFonts w:eastAsia="Calibri"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1944/20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אמארה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2.9.2020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זאת ועוד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אף המחוקק נרתם למאבק לשם מיגורה של תופעת הירי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וזאת על ידי תיקון 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בשנת </w:t>
      </w:r>
      <w:r>
        <w:rPr>
          <w:rFonts w:eastAsia="Calibri" w:cs="Calibri" w:ascii="Calibri" w:hAnsi="Calibri"/>
        </w:rPr>
        <w:t>2018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באופן שהחמיר את העונש הקבוע בצדה של עבירת הירי באזור מגורים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תיקון </w:t>
      </w:r>
      <w:r>
        <w:rPr>
          <w:rFonts w:eastAsia="Calibri" w:cs="Calibri" w:ascii="Calibri" w:hAnsi="Calibri"/>
        </w:rPr>
        <w:t>132</w:t>
      </w:r>
      <w:r>
        <w:rPr>
          <w:rFonts w:eastAsia="Calibri" w:cs="Calibri" w:ascii="Calibri" w:hAnsi="Calibri"/>
          <w:rtl w:val="true"/>
        </w:rPr>
        <w:t>) (</w:t>
      </w:r>
      <w:r>
        <w:rPr>
          <w:rFonts w:ascii="Calibri" w:hAnsi="Calibri" w:eastAsia="Calibri" w:cs="Calibri"/>
          <w:rtl w:val="true"/>
        </w:rPr>
        <w:t>ירי מנשק חם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תשע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2018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הרקע לתיקון 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כפי שניתן ללמוד מדברי ההסבר להצעת 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הרצון ליתן ביטוי עונשי לחומרה הגלומה במעשה ירי שלא כדין המסכן חיי אדם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אף מדיניות ההחמרה בענישה וחרף תיקוני החקיקה שנעשו בניסיון לבלום את ממדי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ממשיכים עברייני הנשק להשתולל ברחובות ולזרוע פורענות וקטל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הטלת אימה על תושבים המבקשים לחיות את חייהם בשלווה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הדברים חמורים במיוחד בחברה הערבית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ממדי הפשיעה הנעשית תוך שימוש בנשק הגיעו לממדים בלתי נתפסים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למגינת הלב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עבירות אלו הביאו לגדיעת חייהם של עשרות אזרחים בשנה האחרונה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כמעט מעשה של יום ביומו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מצב קיצוני זה מחייב שילוב ידיים של כלל הגורמים הרלוונטיים על מנת למגר את תופעת העבריינות בנשק ולהשיב את השקט והביטחון לאזרחים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תרומתם של בתי המשפט למלחמה זו היא בהחמרת הענישה ונקיטת יד קשה כלפי כל מי שמהין לאחוז בידו נשק באופן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כל שכן מי שמעז לעשות בו שימוש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מדובר במי שנעדר עבר פלילי ומי שנחשב עד לאותו אירוע אדם נורמטיבי מן היישוב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הימים הם ימי חירום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המחייבים העדפת האינטרס הציבורי על פני שיקולים אישיים כאלה ואחרים של עברייני הנשק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 בענייננו נתתי דעתי לעובדה שהירי נעשה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בקרבת הנאשם עמדו בני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שעלולים היו להיפגע על נקלה מאותו 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נתתי דעתי לכך שמעובדות כתב האישום עולה כי לאחר שהנאשם ביצע את הירי לראשונה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נכנס אל הבית ויצא כדקה לאחר מכן וביצע ירי פעם נוספת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שהוריו ואחיו אחזו בו כדי למנוע ממנו להמשיך לירות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השתחרר הנאשם מאחיזתם ושב וירה מהאקדח בפעם השלישית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הטענה לפיה קדם למעשה הירי של הנאשם ירי שכוון כביכול לביתו אין בה כדי להקהות מחומרת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ראשית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ייאמר כי לא הוצג בדל ראיה לכך שאכן נעשה ירי לעבר הבית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אחיו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שהעיד במסגרת הראיות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טען כי נעשה ירי קודם לביצוע העבירות מושא הדיון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העובדה שהנאשם החזיק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 ותחמושת אינה קשורה לירי שנטען כי בוצע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והיא חמורה בפני עצמה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זמינותו של אותו נשק שהוחזק בידיו באופן בלתי חוקי אינה מתיישבת עם הטענה כי מדובר באדם נורמטיבי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הייתי מקבל את טענתו של הנאשם כי הירי שבוצע על ידו נעשה בתגובה לירי שנשמע בקרב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ברור מדוע נדרש הנאשם לירות שלוש פעמים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לאחר הירי הראשון הוא נכנס לביתו ויצא מיד לאחר מכן וירה פעם נוספת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מהירי שבוצע על ידי הנאשם לא נגרם אמנם נזק כלשהו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שמדובר בירי שנעשה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בצמוד לנאשם מצויים הוריו ואחיו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שפוטנציאל הנזק שעלול היה להיגרם הוא עצום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רק בנס לא נגרמו פגיעות בגוף או בנפש למי מהנוכחים בזירת האירוע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טען כי כלי הנשק בו נעשה שימוש הוא אקדח ולא 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שעוצמתו רבה בהרבה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בנשק שפוטנציאל הנזק הטמון בו קטן יותר מרובה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ליתן את הדעת לכך שהאקדח בו עשה הנאשם שימוש לא נתפס עד היום ולא נמסר לידי המשטרה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בחינת מדיניות הענישה הנוהגת לגבי עבירות של ירי באזור מגורים מלמדת כי ענישה זו כוללת עונשי מאסר משמעותיים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כך למשל ב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1427/21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שוויקי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26.5.2021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נדחה ערעורו של מי שהורשע בנשיאת נשק וביצוע ירי מנשק חם ונדון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באותו מקרה דובר בנאשם שהגיע למקום בו התקהלו עשרות אנשים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נעמד סמוך להתקהלות וירה באוויר לפחות </w:t>
      </w:r>
      <w:r>
        <w:rPr>
          <w:rFonts w:eastAsia="Calibri" w:cs="Calibri" w:ascii="Calibri" w:hAnsi="Calibri"/>
        </w:rPr>
        <w:t>17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כאמור את הערעור על חומרת העונש בקבעו כי מדובר בעבירות נשק שביחס אליהן קיימת מגמת החמרה בפסיקה ולא בכדי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במעשים חמורים שפוטנציאל הנזק הגלום בהם עצום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ואך מזל הוא שהאירוע לא הסתיים בפגיעה בנפש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יצוין כי לאותו נאשם היה עבר מכביד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בעבירות אלימות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ריצה מספר מאסרים בעבר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3169/21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אגבאריה ואח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21.6.2021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התקבל ערעורה של המדינה על קולת העונש שהוטל על מי שהורשעו בעבירה של 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נשיאה והובלה של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ירי באזור מגורים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שינוי זהות של 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הפרעה לשוטר בשעת מילוי תפקידו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היזק בזדון ושיבוש מהלכי משפט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יצוין בתמצית כי באותו מקרה מדובר בשני נאשמים שלמדו במכללה וקשרו קשר לירות בנשק בסמוך לביתו של מנהל המכללה בה למדו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השניים השליכו ראש כבש לחצר ביתו של המנהל וירו באוויר בקרבת ביתו </w:t>
      </w:r>
      <w:r>
        <w:rPr>
          <w:rFonts w:eastAsia="Calibri" w:cs="Calibri" w:ascii="Calibri" w:hAnsi="Calibri"/>
        </w:rPr>
        <w:t>37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קליעים באוויר ובהמשך 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קליעים נוספים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העליון התערב בעונש שנגזר על הנאשמים באותו מקרה שעמד על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בפועל והעמידו על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1509/20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נבארי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2.7.2020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נדון עניינו של מי שהורשע בעבירה של נשיאה והובלה של נשק וירי מנשק חם באזור מגורים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ואשר נדון על ידי בית המשפט המחוזי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באותו מקרה מדובר במי שנהג ברכב בעיר לוד כשברשותו תת מקלע מאולתר מסוג קרלו ובו מחסנית טעונה בכדורים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מסיבה בלתי ידועה ירה הנאשם שני כדורים באזור מגורים ועזב את המקום ברכבו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העליון קיבל את הערעור על קולת העונש והעמיד את עונשו של הנאשם על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שהפנה לצורך במיגור התופעה של שימוש בנשק בלתי חוקי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יצוין כי לחובת אותו נאשם עמד עבר פלילי הכולל ארבע הרשעות בעבירות אלימות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הפנה לגזר הדין שניתן על ידי ב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1390-04-22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ואיל עזאם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18.4.2023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שם נגזרו על הנאשם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אלא שבאותו מקרה לא מדובר היה בירי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אלא בירי מנשק חם לפי </w:t>
      </w:r>
      <w:hyperlink r:id="rId31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העונש המרבי הקבוע בצדה של עבירה זו עומד על מאסר למשך שנתיים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העונש המרבי הקבוע בצדה של עבירה של ירי מנשק חם באזור מגורים עומד על חמש 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די בכך כדי להסיק שאין ללמוד גזירה שווה מאותו גזר דין לענייננו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גזר הדין האחר שהוצג על ידי ההגנה ניתן בבית משפט זה ב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5874-09-21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גנאים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3.3.2022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אלא שגם גזר דין זה אינו רלוונטי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משום שהעבירות שיוחסו לנאשמים באותו תיק לא כללו ירי מנשק חם כלל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שנתתי דעתי לערכים החברתיים שנפגעו כתוצאה מביצוע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ששקלתי את נסיבות ביצוען של העבירות כמפורט לעיל ואת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בענייננו נע בין </w:t>
      </w:r>
      <w:r>
        <w:rPr>
          <w:rFonts w:eastAsia="Calibri" w:cs="David" w:ascii="David" w:hAnsi="David"/>
        </w:rPr>
        <w:t>56-28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בגזירת העונש בתוך המתחם ראיתי להביא בחשבון את העובדה שמדובר בנאשם צעיר הנעדר כל הרשעות קודמות ואשר ניהל עד לאירוע מושא הדיון אורח חיים נורמטיבי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נסיבותיו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נכותו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צודקת המאשימה בטענתה כי נכות זו לא מנעה בעדו מלבצע את העבירות בהן הורשע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עוד ראיתי להביא בחשבון את העובדה כי הנאשם הודה במיוחס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במסגרת הסדר טיעון ומבלי שכתב האישום תוקן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הודאתו של הנאשם לא ניתנה בראשית ההליך ובהזדמנות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לאחר שנשמעו שמונה עדי תביעה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 כי לנוכח ההודאה ונטילת האחריות מצדו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זכאי הנאשם להקלה מסוימת בעונשו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שאין הוא זכאי למלוא ההנחה הניתנת למי שמודה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נוטל אחריות מידית על מעשיו ומביא לחיסכון בזמן שיפוטי יקר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לגזור את עונשו של הנאשם בסמוך מאוד לרף התחתון של המתחם שנקבע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לא בתחתיתו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  <w:t xml:space="preserve"> </w:t>
      </w:r>
      <w:r>
        <w:rPr>
          <w:rFonts w:ascii="David" w:hAnsi="David" w:eastAsia="Calibri"/>
          <w:rtl w:val="true"/>
        </w:rPr>
        <w:t>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מיום </w:t>
      </w:r>
      <w:r>
        <w:rPr>
          <w:rFonts w:eastAsia="Calibri" w:cs="David" w:ascii="David" w:hAnsi="David"/>
        </w:rPr>
        <w:t>5.12.2022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אלימות או נשק מסוג פשע ויורשע בגין אחת מהן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50477-12-22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בוקאעי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a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340a.b.2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340a.b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7494821" TargetMode="External"/><Relationship Id="rId18" Type="http://schemas.openxmlformats.org/officeDocument/2006/relationships/hyperlink" Target="http://www.nevo.co.il/case/27115374" TargetMode="External"/><Relationship Id="rId19" Type="http://schemas.openxmlformats.org/officeDocument/2006/relationships/hyperlink" Target="http://www.nevo.co.il/case/22006503" TargetMode="External"/><Relationship Id="rId20" Type="http://schemas.openxmlformats.org/officeDocument/2006/relationships/hyperlink" Target="http://www.nevo.co.il/case/27693610" TargetMode="External"/><Relationship Id="rId21" Type="http://schemas.openxmlformats.org/officeDocument/2006/relationships/hyperlink" Target="http://www.nevo.co.il/case/26986954" TargetMode="External"/><Relationship Id="rId22" Type="http://schemas.openxmlformats.org/officeDocument/2006/relationships/hyperlink" Target="http://www.nevo.co.il/case/27309272" TargetMode="External"/><Relationship Id="rId23" Type="http://schemas.openxmlformats.org/officeDocument/2006/relationships/hyperlink" Target="http://www.nevo.co.il/case/25612982" TargetMode="External"/><Relationship Id="rId24" Type="http://schemas.openxmlformats.org/officeDocument/2006/relationships/hyperlink" Target="http://www.nevo.co.il/case/26934681" TargetMode="External"/><Relationship Id="rId25" Type="http://schemas.openxmlformats.org/officeDocument/2006/relationships/hyperlink" Target="http://www.nevo.co.il/case/2653825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436592" TargetMode="External"/><Relationship Id="rId28" Type="http://schemas.openxmlformats.org/officeDocument/2006/relationships/hyperlink" Target="http://www.nevo.co.il/case/27603872" TargetMode="External"/><Relationship Id="rId29" Type="http://schemas.openxmlformats.org/officeDocument/2006/relationships/hyperlink" Target="http://www.nevo.co.il/case/26492590" TargetMode="External"/><Relationship Id="rId30" Type="http://schemas.openxmlformats.org/officeDocument/2006/relationships/hyperlink" Target="http://www.nevo.co.il/case/28450598" TargetMode="External"/><Relationship Id="rId31" Type="http://schemas.openxmlformats.org/officeDocument/2006/relationships/hyperlink" Target="http://www.nevo.co.il/law/70301/340a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7913620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2024-08-26T14:20:00Z</dcterms:created>
  <dc:creator> </dc:creator>
  <dc:description/>
  <cp:keywords/>
  <dc:language>en-IL</dc:language>
  <cp:lastModifiedBy>h1</cp:lastModifiedBy>
  <dcterms:modified xsi:type="dcterms:W3CDTF">2024-08-26T14:20:00Z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בוקאעי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25824863;27494821;27115374;22006503;27693610;26986954;27309272;25612982;26934681;26538254;27436592;27603872;26492590;28450598;27913620</vt:lpwstr>
  </property>
  <property fmtid="{D5CDD505-2E9C-101B-9397-08002B2CF9AE}" pid="9" name="CITY">
    <vt:lpwstr>חי'</vt:lpwstr>
  </property>
  <property fmtid="{D5CDD505-2E9C-101B-9397-08002B2CF9AE}" pid="10" name="DATE">
    <vt:lpwstr>20231030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70301/340a.b.1;340a.b.2;144.a;144.b;040i;340a.a</vt:lpwstr>
  </property>
  <property fmtid="{D5CDD505-2E9C-101B-9397-08002B2CF9AE}" pid="15" name="LAWYER">
    <vt:lpwstr>אבי אור זך;אברהם סופר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50477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390020231030</vt:lpwstr>
  </property>
  <property fmtid="{D5CDD505-2E9C-101B-9397-08002B2CF9AE}" pid="34" name="TYPE_N_DATE">
    <vt:lpwstr>39020231030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