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02"/>
        <w:gridCol w:w="3603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0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כבוד סגן 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אליהו ביתן </w:t>
            </w:r>
          </w:p>
        </w:tc>
        <w:tc>
          <w:tcPr>
            <w:tcW w:w="3603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24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במאי </w:t>
            </w:r>
            <w:r>
              <w:rPr>
                <w:rFonts w:cs="David" w:ascii="David" w:hAnsi="David"/>
                <w:b/>
                <w:bCs/>
              </w:rPr>
              <w:t>2020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50481-07-19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אזברגה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49"/>
        <w:gridCol w:w="3625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62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2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נאיף אזברגה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2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בטרם שמיעת הראיות הגיעו הצדדים להסדר טיעון במסגרתו הוגש נגד הנאשם כתב אישום מתוקן והוא הודה בעובדותיו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19.06.19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23:30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התפתח ריב בין ילדיו של יונס אבוצהיבאן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לבין בני משפחת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והנאשם 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 אוחז בידו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הדברים הנאשם ירה כדור בודד לעבר הרצפה בסמוך למקום בו עמדו המתלונן ובני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הכדור ניתז ופגע בשוק הימני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ויצר פצעי כניסה ויציאה משני עברי השוק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פונה לבית החולים שם אובחן כי נגרם לו שבר של הפיבולה הדיסטאלית והוא אושפז למשך יומיים</w:t>
      </w:r>
      <w:r>
        <w:rPr>
          <w:rFonts w:cs="David" w:ascii="David" w:hAnsi="David"/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הנאשם בעובדות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ובפציעה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</w:rPr>
          <w:t>334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9">
        <w:r>
          <w:rPr>
            <w:rStyle w:val="Hyperlink"/>
            <w:rFonts w:cs="David" w:ascii="David" w:hAnsi="David"/>
            <w:color w:val="0000FF"/>
          </w:rPr>
          <w:t>335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3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 xml:space="preserve">במסגרת הסדר הטיעון הוסכם בין הצדדים להמליץ לבית המשפט להטיל על הנאשם </w:t>
      </w:r>
      <w:r>
        <w:rPr>
          <w:rFonts w:cs="David" w:ascii="David" w:hAnsi="David"/>
          <w:b/>
        </w:rPr>
        <w:t>34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 בניכוי ימי מעצרו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מאסר על תנאי ופיצוי למתלונן בסך </w:t>
      </w:r>
      <w:r>
        <w:rPr>
          <w:rFonts w:cs="David" w:ascii="David" w:hAnsi="David"/>
          <w:b/>
        </w:rPr>
        <w:t>10,000</w:t>
      </w:r>
      <w:r>
        <w:rPr>
          <w:rFonts w:cs="David" w:ascii="David" w:hAnsi="David"/>
          <w:b/>
          <w:rtl w:val="true"/>
        </w:rPr>
        <w:t xml:space="preserve"> ₪.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4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ציינה כי ההסדר הוא תולדה של הליך גישור שנערך בין הצדדים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טענה כי ברקע ההסדר קשיים ראייתיים הנובעים מכך שמדובר באירוע רב משתתפים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הוסיפה כי הנאשם נעדר עבר פלילי אשר הודה במיוחס לו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חסך זמן שיפוטי ולקח אחריות על מעשיו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טענה כי כתב האישום תוקן משמעותית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והעונש המוצע מאוזן ותואם לפסיקה הנהוגה בעבירות מסוג זה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ועתרה לכבד את הסדר הטיעון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הנאשם הצטרפה לדברי 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ציינה שהצדדים קיימו פגישות רבות והשתתפו בהליך גישור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הדגישה את עברו הנקי של הנאשם ואת לקיחת האחריות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וביקשה לאמץ את הסדר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הנאשם הביע צער על מעשיו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  <w:lang w:val="en-IL" w:eastAsia="en-IL"/>
        </w:rPr>
        <w:t>התמונה העולה מכתב האישום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חמורה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הנאשם הגיע לזירת האירוע כשהוא חמוש באקדח שאין לו רישיון להחזקתו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ירה בו וגרם לפציעת המתלונן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במקרה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הכדור ניתז ופגע ברגלו של המתלונן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באותה מידה הוא יכל לפגוע באיבר אחר בגופו והתוצאה יכלה להיות חמורה הרבה יותר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6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ובכל זאת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לאחר ששקלתי בדבר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באתי למסקנה כי יש לכבד את הסדר הטיעון</w:t>
      </w:r>
      <w:r>
        <w:rPr>
          <w:rFonts w:cs="David" w:ascii="David" w:hAnsi="David"/>
          <w:b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rtl w:val="true"/>
        </w:rPr>
        <w:t>א</w:t>
      </w:r>
      <w:r>
        <w:rPr>
          <w:rFonts w:cs="David" w:ascii="David" w:hAnsi="David"/>
          <w:b/>
          <w:rtl w:val="true"/>
        </w:rPr>
        <w:t>.</w:t>
        <w:tab/>
        <w:t>"</w:t>
      </w:r>
      <w:r>
        <w:rPr>
          <w:rFonts w:ascii="David" w:hAnsi="David"/>
          <w:b/>
          <w:b/>
          <w:rtl w:val="true"/>
        </w:rPr>
        <w:t>הסדר טיעון – באשר הוא – אינו רק שיקול אחד ככל יתר השיקולים העומדים בפני בית</w:t>
      </w:r>
      <w:r>
        <w:rPr>
          <w:rFonts w:cs="David" w:ascii="David" w:hAnsi="David"/>
          <w:b/>
          <w:vertAlign w:val="superscript"/>
          <w:rtl w:val="true"/>
        </w:rPr>
        <w:t>-</w:t>
      </w:r>
      <w:r>
        <w:rPr>
          <w:rFonts w:ascii="David" w:hAnsi="David"/>
          <w:b/>
          <w:b/>
          <w:rtl w:val="true"/>
        </w:rPr>
        <w:t>המשפט הגוזר את העונש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הסדר טיעון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כשהוא לעצמו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האינטרס הציבורי במובנו הרחב מחייב את בתי</w:t>
      </w:r>
      <w:r>
        <w:rPr>
          <w:rFonts w:cs="David" w:ascii="David" w:hAnsi="David"/>
          <w:b/>
          <w:vertAlign w:val="superscript"/>
          <w:rtl w:val="true"/>
        </w:rPr>
        <w:t>-</w:t>
      </w:r>
      <w:r>
        <w:rPr>
          <w:rFonts w:ascii="David" w:hAnsi="David"/>
          <w:b/>
          <w:b/>
          <w:rtl w:val="true"/>
        </w:rPr>
        <w:t>המשפט לעודד קיומם של הסדרי טיעון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קיום הסדרי טיעון מאפשר פריסה רחבה יותר של אכיפת החוק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ובכך יש כוח מרתיע כשלעצמו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העשוי לאזן את אפקט ההקלה בעונש במקרה הקונקרטי</w:t>
      </w:r>
      <w:r>
        <w:rPr>
          <w:rFonts w:cs="David" w:ascii="David" w:hAnsi="David"/>
          <w:b/>
          <w:rtl w:val="true"/>
        </w:rPr>
        <w:t>. ...</w:t>
      </w:r>
      <w:r>
        <w:rPr>
          <w:rFonts w:ascii="David" w:hAnsi="David"/>
          <w:b/>
          <w:b/>
          <w:rtl w:val="true"/>
        </w:rPr>
        <w:t>ככלל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בית</w:t>
      </w:r>
      <w:r>
        <w:rPr>
          <w:rFonts w:cs="David" w:ascii="David" w:hAnsi="David"/>
          <w:b/>
          <w:vertAlign w:val="superscript"/>
          <w:rtl w:val="true"/>
        </w:rPr>
        <w:t>-</w:t>
      </w:r>
      <w:r>
        <w:rPr>
          <w:rFonts w:ascii="David" w:hAnsi="David"/>
          <w:b/>
          <w:b/>
          <w:rtl w:val="true"/>
        </w:rPr>
        <w:t>המשפט יראה לקיים את הסדר הטיעון בשל הטעמים הקשורים בחשיבותם ובמעמדם של הסדרי הטיעון</w:t>
      </w:r>
      <w:r>
        <w:rPr>
          <w:rFonts w:cs="David" w:ascii="David" w:hAnsi="David"/>
          <w:b/>
          <w:rtl w:val="true"/>
        </w:rPr>
        <w:t xml:space="preserve">". - </w:t>
      </w:r>
      <w:r>
        <w:rPr>
          <w:rFonts w:ascii="David" w:hAnsi="David"/>
          <w:b/>
          <w:b/>
          <w:rtl w:val="true"/>
        </w:rPr>
        <w:t>ע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 xml:space="preserve">פ </w:t>
      </w:r>
      <w:r>
        <w:rPr>
          <w:rFonts w:cs="David" w:ascii="David" w:hAnsi="David"/>
          <w:b/>
        </w:rPr>
        <w:t>1958/98</w:t>
      </w:r>
      <w:r>
        <w:rPr>
          <w:rFonts w:cs="David" w:ascii="David" w:hAnsi="David"/>
          <w:b/>
          <w:rtl w:val="true"/>
        </w:rPr>
        <w:t xml:space="preserve">‏ </w:t>
      </w:r>
      <w:r>
        <w:rPr>
          <w:rFonts w:ascii="David" w:hAnsi="David"/>
          <w:b/>
          <w:b/>
          <w:rtl w:val="true"/>
        </w:rPr>
        <w:t>פלוני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מדינת ישראל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פ</w:t>
      </w:r>
      <w:r>
        <w:rPr>
          <w:rFonts w:cs="David" w:ascii="David" w:hAnsi="David"/>
          <w:b/>
          <w:rtl w:val="true"/>
        </w:rPr>
        <w:t>''</w:t>
      </w:r>
      <w:r>
        <w:rPr>
          <w:rFonts w:ascii="David" w:hAnsi="David"/>
          <w:b/>
          <w:b/>
          <w:rtl w:val="true"/>
        </w:rPr>
        <w:t>ד נז</w:t>
      </w:r>
      <w:r>
        <w:rPr>
          <w:rFonts w:cs="David" w:ascii="David" w:hAnsi="David"/>
          <w:b/>
          <w:rtl w:val="true"/>
        </w:rPr>
        <w:t>(</w:t>
      </w:r>
      <w:r>
        <w:rPr>
          <w:rFonts w:cs="David" w:ascii="David" w:hAnsi="David"/>
          <w:b/>
        </w:rPr>
        <w:t>1</w:t>
      </w:r>
      <w:r>
        <w:rPr>
          <w:rFonts w:cs="David" w:ascii="David" w:hAnsi="David"/>
          <w:b/>
          <w:rtl w:val="true"/>
        </w:rPr>
        <w:t xml:space="preserve">) </w:t>
      </w:r>
      <w:r>
        <w:rPr>
          <w:rFonts w:cs="David" w:ascii="David" w:hAnsi="David"/>
          <w:b/>
        </w:rPr>
        <w:t>577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הסדר הטיעון נעוץ בין היתר בקשיים ראייתיים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ד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הנאשם הודה במיוחס לו וחסך זמן שיפוט יקר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ה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הנאשם נעדר עבר פלילי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נשוי ואב לילדים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וזהו מאסרו הראשון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ו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העונש המוצע כולל מאסר בפועל לתקופה ממשית והוא סביר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7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נוכח האמור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אני דן את הנאשם לעונשים הבאים</w:t>
      </w:r>
      <w:r>
        <w:rPr>
          <w:rFonts w:cs="David" w:ascii="David" w:hAnsi="David"/>
          <w:b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b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rtl w:val="true"/>
        </w:rPr>
        <w:t>א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cs="David" w:ascii="David" w:hAnsi="David"/>
          <w:b/>
        </w:rPr>
        <w:t>34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חודשי מאסר בפועל בניכוי ימי מעצרו  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b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cs="David" w:ascii="David" w:hAnsi="David"/>
          <w:b/>
        </w:rPr>
        <w:t>12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על תנאי למשך שלוש שנים מיום שחרורו מהמאסר שלא יעבור עבירת נשק או עבירת אלימות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מסוג פשע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ג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 xml:space="preserve">פיצוי למתלונן בסך </w:t>
      </w:r>
      <w:r>
        <w:rPr>
          <w:rFonts w:cs="David" w:ascii="David" w:hAnsi="David"/>
          <w:b/>
        </w:rPr>
        <w:t>10,000</w:t>
      </w:r>
      <w:r>
        <w:rPr>
          <w:rFonts w:cs="David" w:ascii="David" w:hAnsi="David"/>
          <w:b/>
          <w:rtl w:val="true"/>
        </w:rPr>
        <w:t xml:space="preserve"> ₪. </w:t>
      </w:r>
    </w:p>
    <w:p>
      <w:pPr>
        <w:pStyle w:val="Normal"/>
        <w:spacing w:lineRule="auto" w:line="360"/>
        <w:ind w:firstLine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סיוון 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מאי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9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50481-07-19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נאיף אזברגה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2020-06-01T08:02:00Z</dcterms:created>
  <dc:creator> </dc:creator>
  <dc:description/>
  <cp:keywords/>
  <dc:language>en-IL</dc:language>
  <cp:lastModifiedBy>h10</cp:lastModifiedBy>
  <dcterms:modified xsi:type="dcterms:W3CDTF">2020-06-01T08:02:00Z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נאיף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20200525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LISTTMP1">
    <vt:lpwstr>70301/144.b;334;335.a.1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50481</vt:lpwstr>
  </property>
  <property fmtid="{D5CDD505-2E9C-101B-9397-08002B2CF9AE}" pid="21" name="NEWPARTB">
    <vt:lpwstr>07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390020200525</vt:lpwstr>
  </property>
  <property fmtid="{D5CDD505-2E9C-101B-9397-08002B2CF9AE}" pid="33" name="TYPE_N_DATE">
    <vt:lpwstr>39020200525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