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50556-08-17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סולומון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2018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bookmarkStart w:id="1" w:name="_GoBack"/>
            <w:bookmarkEnd w:id="1"/>
            <w:r>
              <w:rPr>
                <w:rFonts w:cs="Times New Roman" w:ascii="Times New Roman" w:hAnsi="Times New Roman"/>
              </w:rPr>
              <w:t xml:space="preserve">   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rFonts w:eastAsia="David"/>
              </w:rPr>
            </w:pPr>
            <w:r>
              <w:rPr>
                <w:rFonts w:eastAsia="David"/>
                <w:rtl w:val="true"/>
              </w:rPr>
              <w:t xml:space="preserve"> </w:t>
            </w:r>
          </w:p>
        </w:tc>
      </w:tr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4"/>
                <w:szCs w:val="4"/>
              </w:rPr>
            </w:pPr>
            <w:r>
              <w:rPr>
                <w:rFonts w:eastAsia="David"/>
                <w:b/>
                <w:bCs/>
                <w:rtl w:val="true"/>
              </w:rPr>
              <w:t xml:space="preserve">                       </w:t>
            </w:r>
            <w:r>
              <w:rPr>
                <w:b/>
                <w:b/>
                <w:bCs/>
                <w:rtl w:val="true"/>
              </w:rPr>
              <w:t>מספר פל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א </w:t>
            </w:r>
            <w:r>
              <w:rPr>
                <w:b/>
                <w:bCs/>
              </w:rPr>
              <w:t>286182/2017</w:t>
            </w:r>
          </w:p>
        </w:tc>
      </w:tr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</w:rPr>
            </w:pPr>
            <w:r>
              <w:rPr>
                <w:rFonts w:cs="Times New Roman" w:ascii="Times New Roman" w:hAnsi="Times New Roman"/>
                <w:b/>
                <w:bCs/>
                <w:sz w:val="4"/>
                <w:szCs w:val="4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דניאל בן טולילה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Times New Roman" w:hAnsi="Times New Roman"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על ידי בא כוח עו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גינת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" w:name="FirstLawyer"/>
            <w:bookmarkEnd w:id="4"/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ליאור סולומון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ניר פוגל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#3#</w:t>
      </w:r>
      <w:r>
        <w:rPr>
          <w:rFonts w:cs="Arial" w:ascii="Arial" w:hAnsi="Arial"/>
          <w:sz w:val="6"/>
          <w:szCs w:val="6"/>
          <w:rtl w:val="true"/>
        </w:rPr>
        <w:t>&gt;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)+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בפרק 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תחת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/>
      </w:pPr>
      <w:bookmarkStart w:id="9" w:name="PsakDin"/>
      <w:bookmarkStart w:id="10" w:name="ABSTRACT_START"/>
      <w:bookmarkEnd w:id="9"/>
      <w:bookmarkEnd w:id="10"/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בהתאם להוראת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בהתאם להוראת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וניסיון שוד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בהתאם להוראת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)+</w:t>
        </w:r>
      </w:hyperlink>
      <w:r>
        <w:rPr>
          <w:rFonts w:cs="Arial" w:ascii="Arial" w:hAnsi="Arial"/>
          <w:rtl w:val="true"/>
        </w:rPr>
        <w:t xml:space="preserve">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על פי המתואר 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26.07.11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נגנב אקדח מסוג ברטה מספר </w:t>
      </w:r>
      <w:r>
        <w:rPr>
          <w:rFonts w:cs="Arial" w:ascii="Arial" w:hAnsi="Arial"/>
        </w:rPr>
        <w:t>Z</w:t>
      </w:r>
      <w:r>
        <w:rPr>
          <w:rFonts w:cs="Arial" w:ascii="Arial" w:hAnsi="Arial"/>
        </w:rPr>
        <w:t>12140</w:t>
      </w:r>
      <w:r>
        <w:rPr>
          <w:rFonts w:cs="Arial" w:ascii="Arial" w:hAnsi="Arial"/>
        </w:rPr>
        <w:t>D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האקדח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מהישוב יד חנה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שלא כדין את האקדח ומחסנית ובה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אקדח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מוסלקים ברמקול בארון הבגדים בחדרו של הנאשם בדירה בה  מתגורר הנאשם עם הוריו ועם אחותו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01.07.17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21:52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נכנס הנאשם לחנות הנוחות</w:t>
      </w:r>
      <w:r>
        <w:rPr>
          <w:rFonts w:cs="Arial" w:ascii="Arial" w:hAnsi="Arial"/>
          <w:b/>
          <w:bCs/>
          <w:sz w:val="20"/>
          <w:szCs w:val="20"/>
        </w:rPr>
        <w:t>MY KIOSK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גולדה מאיר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בבאר שבע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החנות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כשהוא נושא שלא כדין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כשפניו מוסתרות במסכה לבנה עם ציור שחור של פנים וכשעל ידיו כפפות לטקס בצבע תכלת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באותה העת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נכחו במקום לקוחות ועובדי החנות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מיד עם כניסתו לחנות פנה הנאשם לעובד יורי אוסיפוב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המתלונן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קירב את האקדח לפניו ודרש ממנו את הכסף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בעודו דוחף את העובד לעבר הקופה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בתגובה למעשי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לעבר הקופה בחנות ולחץ על לחצן המצוקה אשר הפעיל את האזעקה בחנות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בתגובה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נמלט מהמקום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בורח לכיוון בניין מגורים ברח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חיים לנדאו ומשליך בדרך את הכפפות שעטה על ידיו ואת המסכה שעטה על פניו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IL" w:eastAsia="en-IL"/>
        </w:rPr>
      </w:pPr>
      <w:r>
        <w:rPr>
          <w:rFonts w:cs="Arial" w:ascii="Arial" w:hAnsi="Arial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  <w:lang w:val="en-IL" w:eastAsia="en-IL"/>
        </w:rPr>
        <w:t>במסגרת הסדר הטיעון לא הייתה הסכמה לעניין העונש וכל צד היה חופשי בטיעוניו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למעט הסכמה אחת ולפיה המאסר המותנה בן ה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 שקיים בעניינו של הנאשם והינו בר הפעלה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יופעל כך שמחציתו תהא בחופף לכל עונש שייגזר על הנאשם ומחציתו במצטבר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בן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טרם מעצרו שהה בתנאים מגבילים בבית הוריו תחת פיקוח שכניו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ושירת שירות צבאי מלא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שחרורו מצה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עבד בעבודות מזדמנות ומזה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אינו עובד כלל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בבחינת משפחת מוצאו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 כאיש אחזקה בבית ספר ואמו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כבת </w:t>
      </w:r>
      <w:r>
        <w:rPr>
          <w:rFonts w:cs="Arial" w:ascii="Arial" w:hAnsi="Arial"/>
        </w:rPr>
        <w:t>55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עובדת בניקיון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אחים אשר מנהלים אורח חיים נורמטיבי ונעדרי עבר פלילי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 לצריכת חומרים משני תודעה</w:t>
      </w:r>
      <w:r>
        <w:rPr>
          <w:rtl w:val="true"/>
        </w:rPr>
        <w:t xml:space="preserve">, </w:t>
      </w:r>
      <w:r>
        <w:rPr>
          <w:rtl w:val="true"/>
        </w:rPr>
        <w:t>בעבר הכחיש כל בעייתיות בצריכת אלכוהול</w:t>
      </w:r>
      <w:r>
        <w:rPr>
          <w:rtl w:val="true"/>
        </w:rPr>
        <w:t xml:space="preserve">, </w:t>
      </w:r>
      <w:r>
        <w:rPr>
          <w:rtl w:val="true"/>
        </w:rPr>
        <w:t>כיום החל בהכרה ראשונית בבעייתיות בצריכת אלכוהול והחל בתהליכי בחינה עצמית</w:t>
      </w:r>
      <w:r>
        <w:rPr>
          <w:rtl w:val="true"/>
        </w:rPr>
        <w:t xml:space="preserve">, </w:t>
      </w:r>
      <w:r>
        <w:rPr>
          <w:rtl w:val="true"/>
        </w:rPr>
        <w:t>זאת בשל המחירים אותם משלם</w:t>
      </w:r>
      <w:r>
        <w:rPr>
          <w:rtl w:val="true"/>
        </w:rPr>
        <w:t xml:space="preserve">. </w:t>
      </w:r>
      <w:r>
        <w:rPr>
          <w:rtl w:val="true"/>
        </w:rPr>
        <w:t>הנאשם מסר כי אינו מעוניין בטיפול מחוץ לכותלי המעצר</w:t>
      </w:r>
      <w:r>
        <w:rPr>
          <w:rtl w:val="true"/>
        </w:rPr>
        <w:t xml:space="preserve">, </w:t>
      </w:r>
      <w:r>
        <w:rPr>
          <w:rtl w:val="true"/>
        </w:rPr>
        <w:t>משום שאינו מעוניין שהלשכה לשירותים חברתיים תהא מעורבת וכן רצונו לסיים את ההליך הפלילי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 למעורבותו בעבירה שבענייננו</w:t>
      </w:r>
      <w:r>
        <w:rPr>
          <w:rtl w:val="true"/>
        </w:rPr>
        <w:t xml:space="preserve">, </w:t>
      </w:r>
      <w:r>
        <w:rPr>
          <w:rtl w:val="true"/>
        </w:rPr>
        <w:t>הודה הנאשם בביצועה באופן חלקי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כשנתיים בטרם ביצוע העבירה</w:t>
      </w:r>
      <w:r>
        <w:rPr>
          <w:rtl w:val="true"/>
        </w:rPr>
        <w:t xml:space="preserve">, </w:t>
      </w:r>
      <w:r>
        <w:rPr>
          <w:rtl w:val="true"/>
        </w:rPr>
        <w:t>מצא אקדח ומחסנית</w:t>
      </w:r>
      <w:r>
        <w:rPr>
          <w:rtl w:val="true"/>
        </w:rPr>
        <w:t xml:space="preserve">, </w:t>
      </w:r>
      <w:r>
        <w:rPr>
          <w:rtl w:val="true"/>
        </w:rPr>
        <w:t>אותם החביא בביתו ללא ידיעת משפחתו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הנאשם לא פירט אודות נסיבות הגעת הנשק לידו</w:t>
      </w:r>
      <w:r>
        <w:rPr>
          <w:rtl w:val="true"/>
        </w:rPr>
        <w:t xml:space="preserve">. </w:t>
      </w:r>
      <w:r>
        <w:rPr>
          <w:rtl w:val="true"/>
        </w:rPr>
        <w:t>הנאשם מסר כי ביום העבירה שתה אלכוהול והיה מעוניין באלכוהול נוסף ועל כן החליט לשדוד חנות</w:t>
      </w:r>
      <w:r>
        <w:rPr>
          <w:rtl w:val="true"/>
        </w:rPr>
        <w:t xml:space="preserve">, </w:t>
      </w:r>
      <w:r>
        <w:rPr>
          <w:rtl w:val="true"/>
        </w:rPr>
        <w:t>בה ידע כי קיים אלכוהול וכסף</w:t>
      </w:r>
      <w:r>
        <w:rPr>
          <w:rtl w:val="true"/>
        </w:rPr>
        <w:t xml:space="preserve">. </w:t>
      </w:r>
      <w:r>
        <w:rPr>
          <w:rtl w:val="true"/>
        </w:rPr>
        <w:t>עוד מסר הנאשם כי לא התכוון לפעול באלימות כלפי הנוכחים בחנות ובשל היותו תחת השפעת אלכוהול פעל בחוסר שליטה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כאשר הנאשם מצוי תחת השפעת אלכוהול</w:t>
      </w:r>
      <w:r>
        <w:rPr>
          <w:rtl w:val="true"/>
        </w:rPr>
        <w:t xml:space="preserve">, </w:t>
      </w:r>
      <w:r>
        <w:rPr>
          <w:rtl w:val="true"/>
        </w:rPr>
        <w:t>מצטמצמת יכולתו לשלוט על דחפיו והוא עלול לפעול באופן אלים ועובר 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בבחינת קיומם של</w:t>
      </w:r>
      <w:r>
        <w:rPr>
          <w:u w:val="single"/>
          <w:rtl w:val="true"/>
        </w:rPr>
        <w:t xml:space="preserve"> גורמי סיכוי לשיקום</w:t>
      </w:r>
      <w:r>
        <w:rPr>
          <w:rtl w:val="true"/>
        </w:rPr>
        <w:t xml:space="preserve">- </w:t>
      </w:r>
      <w:r>
        <w:rPr>
          <w:rtl w:val="true"/>
        </w:rPr>
        <w:t>התרשם שירות המבחן כי לאורך חייו של הנאשם</w:t>
      </w:r>
      <w:r>
        <w:rPr>
          <w:rtl w:val="true"/>
        </w:rPr>
        <w:t xml:space="preserve">, </w:t>
      </w:r>
      <w:r>
        <w:rPr>
          <w:rtl w:val="true"/>
        </w:rPr>
        <w:t>התאמצה משפחתו להקנות לו ערכים נורמטיביים להתנהגות ולסיום מסגרות</w:t>
      </w:r>
      <w:r>
        <w:rPr>
          <w:rtl w:val="true"/>
        </w:rPr>
        <w:t xml:space="preserve">. </w:t>
      </w:r>
      <w:r>
        <w:rPr>
          <w:rtl w:val="true"/>
        </w:rPr>
        <w:t xml:space="preserve">בבחינת קיומן של </w:t>
      </w:r>
      <w:r>
        <w:rPr>
          <w:u w:val="single"/>
          <w:rtl w:val="true"/>
        </w:rPr>
        <w:t xml:space="preserve">גורמי הסיכון </w:t>
      </w:r>
      <w:r>
        <w:rPr>
          <w:rtl w:val="true"/>
        </w:rPr>
        <w:t xml:space="preserve">- </w:t>
      </w:r>
      <w:r>
        <w:rPr>
          <w:rtl w:val="true"/>
        </w:rPr>
        <w:t>שירות המבחן התרשם כי גורמי אכיפת החוק</w:t>
      </w:r>
      <w:r>
        <w:rPr>
          <w:rtl w:val="true"/>
        </w:rPr>
        <w:t xml:space="preserve">, </w:t>
      </w:r>
      <w:r>
        <w:rPr>
          <w:rtl w:val="true"/>
        </w:rPr>
        <w:t>ההליכים המשפטיים המתנהלים נגד הנאשם וכן סנקציות עונשיות אינם מרתיעים את הנאשם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הנאשם התקשה לשתף פעולה עם שירות המבחן ועם גורמי הטיפול</w:t>
      </w:r>
      <w:r>
        <w:rPr>
          <w:rtl w:val="true"/>
        </w:rPr>
        <w:t xml:space="preserve">. </w:t>
      </w:r>
      <w:r>
        <w:rPr>
          <w:rtl w:val="true"/>
        </w:rPr>
        <w:t>שירות המבחן מציין כי התרשם מקיומה של צריכת אלכוהול בעייתית המביאה לטשטוש גבולותיו של הנאשם</w:t>
      </w:r>
      <w:r>
        <w:rPr>
          <w:rtl w:val="true"/>
        </w:rPr>
        <w:t xml:space="preserve">. </w:t>
      </w: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שירות המבחן סבור כי קיימת רמת סיכון גבוהה להישנות התנהגות עוברת חוק בתחום האלימות</w:t>
      </w:r>
      <w:r>
        <w:rPr>
          <w:rtl w:val="true"/>
        </w:rPr>
        <w:t xml:space="preserve">. </w:t>
      </w:r>
      <w:r>
        <w:rPr>
          <w:rtl w:val="true"/>
        </w:rPr>
        <w:t>בסופם של דברים</w:t>
      </w:r>
      <w:r>
        <w:rPr>
          <w:rtl w:val="true"/>
        </w:rPr>
        <w:t xml:space="preserve">, </w:t>
      </w:r>
      <w:r>
        <w:rPr>
          <w:rtl w:val="true"/>
        </w:rPr>
        <w:t>סבר שירות המבחן כי הנאשם אינו מתאים לטיפול וכי יש מקום להטיל עליו עונש מאסר ארוך ומרתיע וכן עונש מאסר על 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 הצדדים לעונש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 כוח המאשימה במסגרת טיעוניו לעונש</w:t>
      </w:r>
      <w:r>
        <w:rPr>
          <w:rtl w:val="true"/>
        </w:rPr>
        <w:t xml:space="preserve">, </w:t>
      </w:r>
      <w:r>
        <w:rPr>
          <w:rtl w:val="true"/>
        </w:rPr>
        <w:t>הפנה לערכים המוגנים שבהם פגע הנאשם במעשיו</w:t>
      </w:r>
      <w:r>
        <w:rPr>
          <w:rtl w:val="true"/>
        </w:rPr>
        <w:t xml:space="preserve">, </w:t>
      </w:r>
      <w:r>
        <w:rPr>
          <w:rtl w:val="true"/>
        </w:rPr>
        <w:t>בכללם</w:t>
      </w:r>
      <w:r>
        <w:rPr>
          <w:rtl w:val="true"/>
        </w:rPr>
        <w:t xml:space="preserve">, </w:t>
      </w:r>
      <w:r>
        <w:rPr>
          <w:rtl w:val="true"/>
        </w:rPr>
        <w:t>תחושת הבטחון האישי</w:t>
      </w:r>
      <w:r>
        <w:rPr>
          <w:rtl w:val="true"/>
        </w:rPr>
        <w:t xml:space="preserve">, </w:t>
      </w:r>
      <w:r>
        <w:rPr>
          <w:rtl w:val="true"/>
        </w:rPr>
        <w:t>שלמות הגוף</w:t>
      </w:r>
      <w:r>
        <w:rPr>
          <w:rtl w:val="true"/>
        </w:rPr>
        <w:t xml:space="preserve">, </w:t>
      </w:r>
      <w:r>
        <w:rPr>
          <w:rtl w:val="true"/>
        </w:rPr>
        <w:t>הנפש והקניין</w:t>
      </w:r>
      <w:r>
        <w:rPr>
          <w:rtl w:val="true"/>
        </w:rPr>
        <w:t xml:space="preserve">. </w:t>
      </w:r>
      <w:r>
        <w:rPr>
          <w:rtl w:val="true"/>
        </w:rPr>
        <w:t>לאלה הוסיפה המאשימה את הצורך להגן על שלום הציבור</w:t>
      </w:r>
      <w:r>
        <w:rPr>
          <w:rtl w:val="true"/>
        </w:rPr>
        <w:t xml:space="preserve">, </w:t>
      </w:r>
      <w:r>
        <w:rPr>
          <w:rtl w:val="true"/>
        </w:rPr>
        <w:t>שלטון החוק והסדר הציבורי</w:t>
      </w:r>
      <w:r>
        <w:rPr>
          <w:rtl w:val="true"/>
        </w:rPr>
        <w:t xml:space="preserve">. </w:t>
      </w:r>
      <w:r>
        <w:rPr>
          <w:rtl w:val="true"/>
        </w:rPr>
        <w:t>לדברי המאשימה</w:t>
      </w:r>
      <w:r>
        <w:rPr>
          <w:rtl w:val="true"/>
        </w:rPr>
        <w:t xml:space="preserve">, </w:t>
      </w:r>
      <w:r>
        <w:rPr>
          <w:rtl w:val="true"/>
        </w:rPr>
        <w:t>בעבירות נשק גלומה חומרה יתרה נוכח החשש לכוונת המחזיק להשתמש בו או שזה ימצא דרכו לידי עבריינים ואף לטרוריסטים</w:t>
      </w:r>
      <w:r>
        <w:rPr>
          <w:rtl w:val="true"/>
        </w:rPr>
        <w:t xml:space="preserve">. </w:t>
      </w:r>
      <w:r>
        <w:rPr>
          <w:rtl w:val="true"/>
        </w:rPr>
        <w:t>נטען כי מידת הפגיעה בערכים המוגנים הינה גבוהה</w:t>
      </w:r>
      <w:r>
        <w:rPr>
          <w:rtl w:val="true"/>
        </w:rPr>
        <w:t xml:space="preserve">, </w:t>
      </w:r>
      <w:r>
        <w:rPr>
          <w:rtl w:val="true"/>
        </w:rPr>
        <w:t>בשים לב לעובדה כי לא די בכך שהנאשם החזיק ונשא את הנשק</w:t>
      </w:r>
      <w:r>
        <w:rPr>
          <w:rtl w:val="true"/>
        </w:rPr>
        <w:t xml:space="preserve">, </w:t>
      </w:r>
      <w:r>
        <w:rPr>
          <w:rtl w:val="true"/>
        </w:rPr>
        <w:t>אלא הנאשם  עשה בו שימוש תוך כדי ניסיון שוד</w:t>
      </w:r>
      <w:r>
        <w:rPr>
          <w:rtl w:val="true"/>
        </w:rPr>
        <w:t xml:space="preserve">. </w:t>
      </w:r>
      <w:r>
        <w:rPr>
          <w:rtl w:val="true"/>
        </w:rPr>
        <w:t>אשר על כן ובהסתמך על פסיקה אליה הפנה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נטען כי מתחם העונש ההולם בתיק זה מן הראוי שינוע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 מאסר בפועל לצד ענישה נלווית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בגדרו של המתחם</w:t>
      </w:r>
      <w:r>
        <w:rPr>
          <w:rtl w:val="true"/>
        </w:rPr>
        <w:t xml:space="preserve">,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עמדה המאשימה על הודאתו של הנאשם בעובדות כתב האישום המתוקן וגילו הצעיר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ביקשה המאשימה לתת משקל לאמור בתסקיר שירות המבחן ולעובדה כי מדובר ב</w:t>
      </w:r>
      <w:r>
        <w:rPr>
          <w:rtl w:val="true"/>
        </w:rPr>
        <w:t>"</w:t>
      </w:r>
      <w:r>
        <w:rPr>
          <w:rtl w:val="true"/>
        </w:rPr>
        <w:t>מכת אזור</w:t>
      </w:r>
      <w:r>
        <w:rPr>
          <w:rtl w:val="true"/>
        </w:rPr>
        <w:t xml:space="preserve">" </w:t>
      </w:r>
      <w:r>
        <w:rPr>
          <w:rtl w:val="true"/>
        </w:rPr>
        <w:t xml:space="preserve">אשר הוכרה ככזו בפסיקה כתופעה המצדיקה החמרה בענישה </w:t>
      </w:r>
      <w:r>
        <w:rPr>
          <w:rtl w:val="true"/>
        </w:rPr>
        <w:t>(</w:t>
      </w:r>
      <w:r>
        <w:rPr>
          <w:rtl w:val="true"/>
        </w:rPr>
        <w:t>הן לעניין עבירות הנשק והן לעניין עבירת השוד</w:t>
      </w:r>
      <w:r>
        <w:rPr>
          <w:rtl w:val="true"/>
        </w:rPr>
        <w:t xml:space="preserve">). </w:t>
      </w:r>
      <w:r>
        <w:rPr>
          <w:rtl w:val="true"/>
        </w:rPr>
        <w:t>המאשימה סבורה כי יש להעדיף את האינטרס הציבורי על פני נסיבותיו האישיות של הנאשם ולקבע את עונשו של הנאשם</w:t>
      </w:r>
      <w:r>
        <w:rPr>
          <w:rtl w:val="true"/>
        </w:rPr>
        <w:t xml:space="preserve">, </w:t>
      </w:r>
      <w:r>
        <w:rPr>
          <w:rtl w:val="true"/>
        </w:rPr>
        <w:t>בשליש העליון של המתחם והכל במצטבר למאסר אותו מרצה כיום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 כוח הנאשם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מיקד טיעוניו בכך שמדובר באירוע קצר שארך שניות בודדות כאשר האקדח אותו נשא הנאשם היה נטול תחמושת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 </w:t>
      </w:r>
      <w:r>
        <w:rPr>
          <w:rtl w:val="true"/>
        </w:rPr>
        <w:t>נטען שהנאשם לא השתמש באלימות של ממש כלפי המתלונן וכלפי שני הלקוחות בחנות</w:t>
      </w:r>
      <w:r>
        <w:rPr>
          <w:rtl w:val="true"/>
        </w:rPr>
        <w:t xml:space="preserve">, </w:t>
      </w:r>
      <w:r>
        <w:rPr>
          <w:rtl w:val="true"/>
        </w:rPr>
        <w:t>כך שלמעשה לא היו נפגעים מהאירוע ואף לא נגרם נזק לרכוש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על ידי הסנגור כי עבירת נשיאת הנשק </w:t>
      </w:r>
      <w:r>
        <w:rPr>
          <w:rtl w:val="true"/>
        </w:rPr>
        <w:t>"</w:t>
      </w:r>
      <w:r>
        <w:rPr>
          <w:rtl w:val="true"/>
        </w:rPr>
        <w:t>נבלעת</w:t>
      </w:r>
      <w:r>
        <w:rPr>
          <w:rtl w:val="true"/>
        </w:rPr>
        <w:t xml:space="preserve">" </w:t>
      </w:r>
      <w:r>
        <w:rPr>
          <w:rtl w:val="true"/>
        </w:rPr>
        <w:t>בתוך עבירת ניסיון השוד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לנסיבותיו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פירט הסנגור כי מדובר במי  שגדל במשפחה נורמטיבית</w:t>
      </w:r>
      <w:r>
        <w:rPr>
          <w:rtl w:val="true"/>
        </w:rPr>
        <w:t xml:space="preserve">. </w:t>
      </w:r>
      <w:r>
        <w:rPr>
          <w:rtl w:val="true"/>
        </w:rPr>
        <w:t>הנאשם נולד בישראל לאחר עליית הוריו מאתיופיה</w:t>
      </w:r>
      <w:r>
        <w:rPr>
          <w:rtl w:val="true"/>
        </w:rPr>
        <w:t xml:space="preserve">. </w:t>
      </w:r>
      <w:r>
        <w:rPr>
          <w:rtl w:val="true"/>
        </w:rPr>
        <w:t>משפחתו של הנאשם תומכת בו</w:t>
      </w:r>
      <w:r>
        <w:rPr>
          <w:rtl w:val="true"/>
        </w:rPr>
        <w:t xml:space="preserve">, </w:t>
      </w:r>
      <w:r>
        <w:rPr>
          <w:rtl w:val="true"/>
        </w:rPr>
        <w:t>והסיבה לכך שאף לו אחד מבני משפחתו הגיע לדיונים המשפטיים נובעת מכך שהמשפחה מאוד מתביישת</w:t>
      </w:r>
      <w:r>
        <w:rPr>
          <w:rtl w:val="true"/>
        </w:rPr>
        <w:t xml:space="preserve">, </w:t>
      </w:r>
      <w:r>
        <w:rPr>
          <w:rtl w:val="true"/>
        </w:rPr>
        <w:t>בשל כך שהעבירה בוצעה מרחק קצר ממקום מגוריהם</w:t>
      </w:r>
      <w:r>
        <w:rPr>
          <w:rtl w:val="true"/>
        </w:rPr>
        <w:t xml:space="preserve">. </w:t>
      </w:r>
      <w:r>
        <w:rPr>
          <w:rtl w:val="true"/>
        </w:rPr>
        <w:t>כך גם ביקש הסנגור לקחת בחשבון את דברי הנאשם לפיהם  הוא  מבקש לעבור טיפול במסגרת המאסר</w:t>
      </w:r>
      <w:r>
        <w:rPr>
          <w:rtl w:val="true"/>
        </w:rPr>
        <w:t xml:space="preserve">, </w:t>
      </w:r>
      <w:r>
        <w:rPr>
          <w:rtl w:val="true"/>
        </w:rPr>
        <w:t>דבר המלמד כי יש בעניינו פוטנציאל שיקום</w:t>
      </w:r>
      <w:r>
        <w:rPr>
          <w:rtl w:val="true"/>
        </w:rPr>
        <w:t xml:space="preserve">, </w:t>
      </w:r>
      <w:r>
        <w:rPr>
          <w:rtl w:val="true"/>
        </w:rPr>
        <w:t>וכן את ההודאה והחיסכון בזמן שיפוטי</w:t>
      </w:r>
      <w:r>
        <w:rPr>
          <w:rtl w:val="true"/>
        </w:rPr>
        <w:t xml:space="preserve">. </w:t>
      </w:r>
      <w:r>
        <w:rPr>
          <w:rtl w:val="true"/>
        </w:rPr>
        <w:t xml:space="preserve">בשל כל אלה סבור בא כוח הנאשם כי מתחם העונש ההולם בתיק זה מן הראוי שינוע לכל היותר בין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כאשר יש למקם את עונשו של הנאשם ברף התחתון של מתחם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בדבריו לעונש הביע צער על מעשיו</w:t>
      </w:r>
      <w:r>
        <w:rPr>
          <w:rtl w:val="true"/>
        </w:rPr>
        <w:t xml:space="preserve">. </w:t>
      </w:r>
      <w:r>
        <w:rPr>
          <w:rtl w:val="true"/>
        </w:rPr>
        <w:t>הלה שיתף כי לא התכוון לפגוע באדם ושהיה תחת השפעת אלכוהול</w:t>
      </w:r>
      <w:r>
        <w:rPr>
          <w:rtl w:val="true"/>
        </w:rPr>
        <w:t xml:space="preserve">. </w:t>
      </w:r>
      <w:r>
        <w:rPr>
          <w:rtl w:val="true"/>
        </w:rPr>
        <w:t>עוד שיתף כי משפחתו תומכת בו</w:t>
      </w:r>
      <w:r>
        <w:rPr>
          <w:rtl w:val="true"/>
        </w:rPr>
        <w:t xml:space="preserve">, </w:t>
      </w:r>
      <w:r>
        <w:rPr>
          <w:rtl w:val="true"/>
        </w:rPr>
        <w:t>אך מתביישת במעשיו וביקש לקבל טיפול בבית הסוהר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דיון והכרעה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tl w:val="true"/>
          <w:lang w:eastAsia="he-IL"/>
        </w:rPr>
        <w:t>כאשר אין המדובר בעבירה יחידה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וכשלב ראשון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בית המשפט לקבוע האם מדובר באירוע אחד או בכמה אירועים נפרדים</w:t>
      </w:r>
      <w:r>
        <w:rPr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</w:rPr>
        <w:t>תקצר היריעה מלפרט את המבחנים השונים שנקבעו בפסיקה ביחס לשאלה מה ייחשב כמעשה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ומה ייחשב כאירוע אחד וזאת לצורך קביעת מתחם עונש הולם על פי 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בית המשפט העליון נדרש באריכות לסוגיה זו במסגרת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4910/13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אחמד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ׁ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29.10.14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בסופו של פסק דין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מתקבלת בדעת רוב עמדת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ברק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ארז יחד עם דעתו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פוגלמן לפיה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בבואו של בית משפט לקבוע אם מדובר באירוע אחד בגינו יש לקבוע מתחם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לאו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להחיל את מבחן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ניסיון החיים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ומבחן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הקשר ההדוק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עוד ראה בהקשר לכך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2420/15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אבטליון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29.11.15</w:t>
      </w:r>
      <w:r>
        <w:rPr>
          <w:rFonts w:cs="Arial" w:ascii="Arial" w:hAnsi="Arial"/>
          <w:rtl w:val="true"/>
        </w:rPr>
        <w:t xml:space="preserve">),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4760/14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קיסלמן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7.5.15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5643/14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אחמד עיסא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</w:rPr>
        <w:t>23.6.15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יישום המבחנים שצוינו לעיל הביאני לכלל מסקנה כי יש לקבוע שני מתחמים נפרדים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האחד ביחס לעבירה של החזקת נשק והשני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ביחס לעבירה של ניסיון שוד ונשיאת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מסקנה זו מבוססת בעיקר בשים לב לכך שהחזקת הנשק מתקיימת עוד בטרם בוצע ניסיון שוד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על פי דברי הנאשם לקצינת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כשנתיים טרם מעצרו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וחשוב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ממשיכה להתקיים גם לאחר שאירוע זה הסתיים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הדברים אמורים גם במאובחן מהכפפות ומהמסכה שמהם נפטר במהלך מנוסתו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המשך החזקת האקדח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הסיכון שיהיה בכך כדי לקשור אותו לשוד ובכלל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נעשתה מן הסתם לתכלית מסוימת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יוער כי כתב האישום אינו מפרט מה התאריך המדויק שבו נמצא האקדח מוסלק בביתו על ידי השוטרים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לעובדות כתב האישום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הגם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בשים לב לכך שמדובר באותו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האקדח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פשיטא והגיונם של דברים כי הדבר נעשה לאחר השוד ולא לפניו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יש באמור כדי להביא לקביעתם של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מתחמים נפרדים תוך קבלה חלקית של טענת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נשיאת הנשק על ידי הנאשם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נבלעת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בעבירת ניסיון השוד ומהווה נסיבה אחת מבין יתר הנסיבות הנוגעות לביצוע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על־פי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בקביעת מתחם העונש בהתאם לעקרון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בית המשפט להתחשב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בערך החברתי שנפגע מביצוע העבירה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במידת הפגיעה בו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במדיניות הענישה הנהוגה ובנסיבות הקשורות בביצוע העבירה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קביעתם של שני מתחמים ומטעמי נוחות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התייחסות בית המשפט בקביעת מתחם העונש ההולם תהיה בתחילה לגבי עבירות הנשק ובהמשך לגבי עבירת ניסיון השוד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לגופם של 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הערך החברתי המוגן העומד בבסיס עבירות הנשק  הינו בראש ובראשונה הגנה על שלום הציבור וביטחונו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עבירות אלה טומנות בחובן  סיכון רב  לפיו  יעשה שימוש בנשק הבלתי חוקי על ידי מחזיקו לצורך ביצוע עבירות פליליות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גם חשש שהנשק הבלתי חוקי יתגלגל לידיים עוינות העוסקות בפעילות פלילית או ביטחונית ויגרום לנזק רב עד כדי קיפוח 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האמור ובאופן עקיף יש במעשיו של הנאשם גם כדי לפגוע בשלטון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חיזוק לכך ניתן גם ללמוד מעצם מיקום העבירה 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בפרק 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תחת</w:t>
        </w:r>
      </w:hyperlink>
      <w:r>
        <w:rPr>
          <w:rFonts w:ascii="Arial" w:hAnsi="Arial" w:cs="Arial"/>
          <w:rtl w:val="true"/>
        </w:rPr>
        <w:t xml:space="preserve"> הכותרת 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פגיעה בסדרי המשטר והחברה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החומרה שיש לנקוט בעבירות נשק ראו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1332/04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יצחק רפאל פס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</w:rPr>
        <w:t>9.04.2004</w:t>
      </w:r>
      <w:r>
        <w:rPr>
          <w:rFonts w:cs="Arial" w:ascii="Arial" w:hAnsi="Arial"/>
          <w:rtl w:val="true"/>
        </w:rPr>
        <w:t>):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ind w:start="567" w:end="567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כבר נאמר לא אחת בפסיקתנו כי מידת העונש המוטל בגין עבירות המבוצעות בנשק מושפעת מפוטנציאל הסיכון הרב הטמון בנשק המוחזק שלא 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ומהעברתו מיד ליד ללא פיקוח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בבוא בית המשפט לגזור את הדין בעבירה של החזקה ונשיאה של נשק עליו להתחשב בנסיבות שבהן באה לידי ביטוי החומרה המיוחדת שבעבירה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בין היתר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יתן בית המשפט דעתו על סוג הנשק המוחזק שלא 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כמותו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על התכלית שלשמה הוא מוחזק ועל הסכנה המוחשית שיעשה בו שימוש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השוו</w:t>
      </w:r>
      <w:r>
        <w:rPr>
          <w:rFonts w:cs="Arial" w:ascii="Arial" w:hAnsi="Arial"/>
          <w:b/>
          <w:bCs/>
          <w:rtl w:val="true"/>
        </w:rPr>
        <w:t xml:space="preserve">: </w:t>
      </w:r>
      <w:hyperlink r:id="rId24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ש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625/82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מחמוד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 xml:space="preserve">). </w:t>
      </w:r>
      <w:r>
        <w:rPr>
          <w:rFonts w:ascii="Arial" w:hAnsi="Arial" w:cs="Arial"/>
          <w:b/>
          <w:b/>
          <w:bCs/>
          <w:rtl w:val="true"/>
        </w:rPr>
        <w:t>כאשר מדובר בנשק שעל־פי טיבו אינו מיועד להגנה עצמית וכל כולו נשק התקפי רב עוצמה אשר השימוש בו יכול להביא להרג ללא הבחנה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יש בעבירת ההחזקה והנשיאה של אותו נשק חומרה מיוחדת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start="567" w:end="567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</w:rPr>
          <w:t>2718/04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פואד אבו דאחל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29.03.2004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צוין כי עבירה של החזקת נשק מצדיקה עונש מאחורי סורג ובריח וזאת גם במקרים שהנאשמים נטולי עבר פלילי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ind w:start="566" w:end="567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יוער כי הסכנה הטמונה בעבירה החמורה של החזקת נשק מצדיקה הטלת עונשי מאסר לריצוי בפועל גם על מי שזו עבירתו הראשונה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בבוא בית־המשפט לשקול את הענישה בעבירות מסוג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פני הנסיבות האישיות של העבריין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2368/11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מאל נפאע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4.12.11</w:t>
      </w:r>
      <w:r>
        <w:rPr>
          <w:rFonts w:cs="Arial" w:ascii="Arial" w:hAnsi="Arial"/>
          <w:rtl w:val="true"/>
        </w:rPr>
        <w:t xml:space="preserve">)   </w:t>
      </w:r>
      <w:r>
        <w:rPr>
          <w:rFonts w:ascii="Arial" w:hAnsi="Arial" w:cs="Arial"/>
          <w:rtl w:val="true"/>
        </w:rPr>
        <w:t>ציין בית המשפט כי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ind w:start="566" w:end="567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על הצורך להחמיר את רמת הענישה בהקשר זה עמד בית המשפט כבר לפני שנים באחדות באומרו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הרי שהמציאות השוררת היום בארץ – זמינותו של נשק חם ורב עוצמה שיש עמו פוטנציאל להסלמה באלימות העבריינית והאידיאולוגית כאחד – מחייבת מתן ביטוי עונשי הולם והחמרה ברמת הענישה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למדיניות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שבדומה לעבירות רבות בקודקס הפלילי גם בעבירות בהן הורשע הנאשם ניתן למצוא ספקטרום רחב ומגוון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דרך הכלל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נשיאה והחזקת נשק בית המשפט שת ליבו 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לכמות הנשק שנמצא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סוגו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האם הנשק נמצא טעון ומוכן לפעולה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מטרת ההחזקה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האם נעשה בנשק שימוש לרבות עבירות פליליות נלוות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משך ההחזקה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מקום נשיאת הנשק או החזקתו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האביזרים שנמצאו יחד עם הנשק וכן נסיבות נוספות הנוגעות לביצוע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חרף השונות הרבה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לומר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כלל אצבע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שעבירות שעניינן נשיאה והחזקת נשק מובילות בהכרח להשתת עונש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במקרים הקלים ביותר הנמצאים במדרג הנמוך ביותר של עבירות כגון דא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וכוללים גם רכיב שיקומי יוצא דופן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ניתן למצוא עונשי מאסר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ברובם המכריע של התיקים נגזרים עונשי מאסר בני 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שנתיים ואף עונשי מאסר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הערה מקדימה נוספת הנוגעת לעבירות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עניינה מגמת החמרה ברורה בענישה בשנים האחרונות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מגמה זו מוצאת ביטוי מפורש בגזרי הדין של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העליון וראה בין היתר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135/17</w:t>
        </w:r>
      </w:hyperlink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b/>
          <w:b/>
          <w:bCs/>
          <w:rtl w:val="true"/>
        </w:rPr>
        <w:t>באסל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8.3.17</w:t>
      </w:r>
      <w:r>
        <w:rPr>
          <w:rFonts w:cs="Arial" w:ascii="Arial" w:hAnsi="Arial"/>
          <w:rtl w:val="true"/>
        </w:rPr>
        <w:t xml:space="preserve">),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2422/14</w:t>
        </w:r>
      </w:hyperlink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אדר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21.12.14</w:t>
      </w:r>
      <w:r>
        <w:rPr>
          <w:rFonts w:cs="Arial" w:ascii="Arial" w:hAnsi="Arial"/>
          <w:rtl w:val="true"/>
        </w:rPr>
        <w:t xml:space="preserve">),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וההפניות 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הערה שלישית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נוגעת לכך שהפסיקה הנוהגת מהווה אך פרמטר אחד שעל בית המשפט לקחתו בחשבון כחלק ממכלול שיקולים עובר לקביעת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והענישה הינה לעולם אינדיבידואלית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ראה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4910/16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5.4.17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בהינתן הערות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להלן מדגם של הפסיקה הנוהגת בעבירות של החזקה ונשיאת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6671/06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נגד סרור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פורסם בנבו </w:t>
      </w:r>
      <w:r>
        <w:rPr>
          <w:rFonts w:cs="Arial" w:ascii="Arial" w:hAnsi="Arial"/>
        </w:rPr>
        <w:t>11.12.06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:"</w:t>
      </w:r>
      <w:r>
        <w:rPr>
          <w:rFonts w:ascii="Arial" w:hAnsi="Arial" w:cs="Arial"/>
          <w:b/>
          <w:b/>
          <w:bCs/>
          <w:rtl w:val="true"/>
        </w:rPr>
        <w:t>סרור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החמיר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למצות את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בעונשו של צעיר נעדר עבר פלילי שהורשע בכך שנסע ברכבו כשהוא נושא בין רגליו אקדח טעון ומחסנית ובה תשעה כדורים והחזיק בכיסו תשעה כדורים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משישה חודשים מאסר בדרך של עבודות שירות </w:t>
      </w:r>
      <w:r>
        <w:rPr>
          <w:rFonts w:ascii="Arial" w:hAnsi="Arial" w:cs="Arial"/>
          <w:b/>
          <w:b/>
          <w:bCs/>
          <w:rtl w:val="true"/>
        </w:rPr>
        <w:t>לחמישה עשר חודשים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5604/11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נאסר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5.10.11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נדחה ערעור מטעם נאשם אשר נדון ל־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בגין עבירת החזקת נשק וזאת חרף נסיבות לקולא אשר התקיימו בעניינו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3877/16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באלי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17.11.16</w:t>
      </w:r>
      <w:r>
        <w:rPr>
          <w:rFonts w:cs="Arial" w:ascii="Arial" w:hAnsi="Arial"/>
          <w:rtl w:val="true"/>
        </w:rPr>
        <w:t xml:space="preserve">)-  </w:t>
      </w:r>
      <w:r>
        <w:rPr>
          <w:rFonts w:ascii="Arial" w:hAnsi="Arial" w:cs="Arial"/>
          <w:rtl w:val="true"/>
        </w:rPr>
        <w:t xml:space="preserve">נדחה ערעור על חומרת העונש בעניינו של נאשם שנגזרו עליו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מאסר בפועל לאחר שהורשע בכך שנשא אקדח ובו מחסנית המכילה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עמם הגיע למקום מפגש לשם יישוב סכסוך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העליון מאשר גם את המתחם שנקבע על ידי בית המשפט המחוזי שנע בין </w:t>
      </w:r>
      <w:r>
        <w:rPr>
          <w:rFonts w:cs="Arial" w:ascii="Arial" w:hAnsi="Arial"/>
        </w:rPr>
        <w:t>2-4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6294/10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אלקיעאן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13.2.11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נדחה ערעור מטעם ההגנה על קולת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המדובר במערערים אשר נתפס ברכב שבו נסעו אקדח טעון ומחסנית וכן אצל כל אחד מהמערערים גם נמצאה מחסנית נוספת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בגין מעשים אלו נדונו המערערים ל־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4460/11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פאיד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28.11.11</w:t>
      </w:r>
      <w:r>
        <w:rPr>
          <w:rFonts w:cs="Arial" w:ascii="Arial" w:hAnsi="Arial"/>
          <w:rtl w:val="true"/>
        </w:rPr>
        <w:t xml:space="preserve">)- </w:t>
      </w:r>
      <w:r>
        <w:rPr>
          <w:rFonts w:ascii="Arial" w:hAnsi="Arial" w:cs="Arial"/>
          <w:rtl w:val="true"/>
        </w:rPr>
        <w:t>נדון עניינו של נאשם שהחזיק מספר כלי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נשא אותם עימו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חתונה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במהלכה ירה באמצעותם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מקבל את ערעורה של המדינה על קולת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גוזר על הנאשם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בפועל מבלי למצות את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אמירה לפיה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אכן נראה לנו כי הגיעה השעה להחמיר בעבירות של החזקת נשק ושימוש בו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נשק המוחזק שלא כדין עלול למצוא דרכו לידיים עוינות ועלול גם לשמש למטרות פליליות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יריות שמחה באירועים יש בהן כדי לסכן חפים מפשע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ג </w:t>
        </w:r>
        <w:r>
          <w:rPr>
            <w:rStyle w:val="Hyperlink"/>
            <w:color w:val="0000FF"/>
            <w:u w:val="single"/>
          </w:rPr>
          <w:t>11560-10-17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highlight w:val="yellow"/>
          <w:rtl w:val="true"/>
        </w:rPr>
        <w:t>ׁ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מחוזי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אבוטבול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>
          <w:rtl w:val="true"/>
        </w:rPr>
        <w:t>פורסם באר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/>
        <w:t>13.12.17</w:t>
      </w:r>
      <w:r>
        <w:rPr>
          <w:rtl w:val="true"/>
        </w:rPr>
        <w:t xml:space="preserve">)- </w:t>
      </w:r>
      <w:r>
        <w:rPr>
          <w:rtl w:val="true"/>
        </w:rPr>
        <w:t xml:space="preserve">דוחה בית המשפט ערעור על חומרת העונש של מערר שנגזרו עליו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חודשים מאסר בפועל בגין החזקת אקדח יחד עם חפץ מאולתר בעל יכולת עמעום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2124-06-17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תקפה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19.07.17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שדן בעניין החזקת נשק מאולתר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קרלו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 xml:space="preserve">בית המשפט המחוזי עומד על הצורך בהחמרה בעבירות נשק ומעלה את עונשו של נאשם נעדר עבר פלילי שהודה בהחזקת נשק יחד עם </w:t>
      </w:r>
      <w:r>
        <w:rPr>
          <w:rFonts w:cs="Arial" w:ascii="Arial" w:hAnsi="Arial"/>
        </w:rPr>
        <w:t>300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מ־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ל־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בדומה 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22885-05-17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אלאסד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באר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05.07.17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וכן האמור ב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23419-01-17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זניד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באר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22.3.17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ככל שהדבר נוגע להחזקת הנשק מידת הפגיעה של הנאשם בערכים המוגנים הינה גבוהה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ראשית וככל שהדבר נוגע לסוג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שמדובר באקדח מסוג ברטה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כלי נשק חצי אוטומטי שביכולתו לפצוע ולהרוג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האקדח מוחזק שבתוכו מחסנית יחד עם שישה 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מוכן לפעולה בכל עת שהנאשם יחפוץ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מחזיק את האקדח מוסלק באופן מתוחכם בתוך רמקול בחדרו וזאת על מנת להקשות על גילויו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האקדח הושג בעבירה פלילית ונגנב מהישוב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יד חנה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עוד בשנת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מצדו לא האיר את עיני היחידה החוקרת או את בית המשפט בנוגע לאופן שבו זה התגלגל לחזקתו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כשלדבריו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>וזאת בדומה לנאשמים רבים כדוגמתו</w:t>
      </w:r>
      <w:r>
        <w:rPr>
          <w:rFonts w:cs="Arial" w:ascii="Arial" w:hAnsi="Arial"/>
          <w:rtl w:val="true"/>
        </w:rPr>
        <w:t>)  "</w:t>
      </w:r>
      <w:r>
        <w:rPr>
          <w:rFonts w:ascii="Arial" w:hAnsi="Arial" w:cs="Arial"/>
          <w:rtl w:val="true"/>
        </w:rPr>
        <w:t>מצא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בדרך מופלאה את האקדח כשנתיים עובר לביצוע העבירות הנוכחיות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החזקתו של האקדח פרק זמן כה ממושך אף היא פועלת לחובת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Arial" w:hAnsi="Arial" w:cs="Arial"/>
          <w:rtl w:val="true"/>
        </w:rPr>
        <w:t>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לתת את הדעת לא רק לסוג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גם למטרה שלשמה זה הוחזק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שנקבע בהלכת 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מוך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625/82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מוך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16.8.82</w:t>
      </w:r>
      <w:r>
        <w:rPr>
          <w:rFonts w:cs="Arial" w:ascii="Arial" w:hAnsi="Arial"/>
          <w:rtl w:val="true"/>
        </w:rPr>
        <w:t xml:space="preserve">)) </w:t>
      </w:r>
      <w:r>
        <w:rPr>
          <w:rFonts w:ascii="Arial" w:hAnsi="Arial" w:cs="Arial"/>
          <w:rtl w:val="true"/>
        </w:rPr>
        <w:t>סיווג בית המשפט את עבירות הנשק לפי חומרתן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בראש המדרג  מצויות עבירות נשק שעלולות לפגוע במדינה או בציבור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דרך עבירות נשק לשם ביצוע עבירות פליליות וכלה בהחזקת נשק לשם הגנה עצמית או נשק ללא חידוש רישיון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ההחזקה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מאידך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במאובחן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בעבירת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נשיאת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הנשק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וניסיון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  <w:t>אשר לפגיעה הקשה בערכים החברתיים המוגנים הנגרמת מעבירת השוד</w:t>
      </w:r>
      <w:r>
        <w:rPr>
          <w:rtl w:val="true"/>
        </w:rPr>
        <w:t xml:space="preserve">, </w:t>
      </w:r>
      <w:r>
        <w:rPr>
          <w:rtl w:val="true"/>
        </w:rPr>
        <w:t>יפים דברי כב</w:t>
      </w:r>
      <w:r>
        <w:rPr>
          <w:rtl w:val="true"/>
        </w:rPr>
        <w:t xml:space="preserve">' </w:t>
      </w:r>
      <w:r>
        <w:rPr>
          <w:rtl w:val="true"/>
        </w:rPr>
        <w:t>השופט נ</w:t>
      </w:r>
      <w:r>
        <w:rPr>
          <w:rtl w:val="true"/>
        </w:rPr>
        <w:t xml:space="preserve">' </w:t>
      </w:r>
      <w:r>
        <w:rPr>
          <w:rtl w:val="true"/>
        </w:rPr>
        <w:t xml:space="preserve">הנדל </w:t>
      </w:r>
      <w:r>
        <w:rPr>
          <w:u w:val="single"/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3907/10</w:t>
        </w:r>
      </w:hyperlink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אמיר נעאמנה נגד מדינת ישראל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פורסם בנבו</w:t>
      </w:r>
      <w:r>
        <w:rPr>
          <w:u w:val="single"/>
          <w:rtl w:val="true"/>
        </w:rPr>
        <w:t xml:space="preserve">, </w:t>
      </w:r>
      <w:r>
        <w:rPr>
          <w:u w:val="single"/>
        </w:rPr>
        <w:t>23.3.2011</w:t>
      </w:r>
      <w:r>
        <w:rPr>
          <w:u w:val="single"/>
          <w:rtl w:val="true"/>
        </w:rPr>
        <w:t>)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</w:tabs>
        <w:spacing w:before="0" w:after="0"/>
        <w:ind w:start="567" w:end="567"/>
        <w:contextualSpacing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עבירת השוד היא מן הותיקות שבעבירות הפליליות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מימי קדם ועד ימינו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רבו האנשים שערכו בינם לבין עצמם חשבון של סיכויי ההצלחה מול הסיכונים הכרוכים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ונענו לפיתוי הכספי הכרוך באירוע אלים קצר טווח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כנגד פיתוי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נאלצה כל חברה אנושית למצוא את הדרכים להיאבק נגד הפגיעה החמורה בה וביחידיה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חומרתה של עבירה זו כלפי הפרט מורכבת משני נדבכים משתלבים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הפגיעה בקניינו של קורבן השוד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ובמקרה דנן – פדיון עמל יומו של בעל עסק זעיר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המיועד לזון את בני ביתו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הממד הפוגעני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האלים והמאיים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 אם יקבל קורבן השוד את כל רכושו בחזרה בלא פגע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 במהרה יחלימו צלקותיו הנפשיות</w:t>
      </w:r>
      <w:r>
        <w:rPr>
          <w:b/>
          <w:bCs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885" w:start="885" w:end="0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  <w:t>אשר לפסיקה הנוהגת</w:t>
      </w:r>
      <w:r>
        <w:rPr>
          <w:rtl w:val="true"/>
        </w:rPr>
        <w:t xml:space="preserve">, </w:t>
      </w:r>
      <w:r>
        <w:rPr>
          <w:rtl w:val="true"/>
        </w:rPr>
        <w:t>וכפי שצוין ביחס לעבירה של החזקת נשק גם בעבירות שוד וניסיון שוד ניתן למצוא משרעת רחבה של עונשים</w:t>
      </w:r>
      <w:r>
        <w:rPr>
          <w:rtl w:val="true"/>
        </w:rPr>
        <w:t xml:space="preserve">. </w:t>
      </w:r>
      <w:r>
        <w:rPr>
          <w:rtl w:val="true"/>
        </w:rPr>
        <w:t>בעבירות אלו בתי המשפט שתים לבם</w:t>
      </w:r>
      <w:r>
        <w:rPr>
          <w:rtl w:val="true"/>
        </w:rPr>
        <w:t xml:space="preserve">, </w:t>
      </w:r>
      <w:r>
        <w:rPr>
          <w:rtl w:val="true"/>
        </w:rPr>
        <w:t>בין היתר לשאלה האם מדובר בשוד מתוכנן או ספונטני</w:t>
      </w:r>
      <w:r>
        <w:rPr>
          <w:rtl w:val="true"/>
        </w:rPr>
        <w:t xml:space="preserve">; </w:t>
      </w:r>
      <w:r>
        <w:rPr>
          <w:rtl w:val="true"/>
        </w:rPr>
        <w:t xml:space="preserve">האם היה שימוש באלימות </w:t>
      </w:r>
      <w:r>
        <w:rPr>
          <w:rtl w:val="true"/>
        </w:rPr>
        <w:t>(</w:t>
      </w:r>
      <w:r>
        <w:rPr>
          <w:rtl w:val="true"/>
        </w:rPr>
        <w:t>ואם כן עוצמתה</w:t>
      </w:r>
      <w:r>
        <w:rPr>
          <w:rtl w:val="true"/>
        </w:rPr>
        <w:t xml:space="preserve">); </w:t>
      </w:r>
      <w:r>
        <w:rPr>
          <w:rtl w:val="true"/>
        </w:rPr>
        <w:t>האם מדובר בביצוע בצוותא</w:t>
      </w:r>
      <w:r>
        <w:rPr>
          <w:rtl w:val="true"/>
        </w:rPr>
        <w:t xml:space="preserve">; </w:t>
      </w:r>
      <w:r>
        <w:rPr>
          <w:rtl w:val="true"/>
        </w:rPr>
        <w:t>האם נעשה שימוש בנשק חם או קר</w:t>
      </w:r>
      <w:r>
        <w:rPr>
          <w:rtl w:val="true"/>
        </w:rPr>
        <w:t xml:space="preserve">; </w:t>
      </w:r>
      <w:r>
        <w:rPr>
          <w:rtl w:val="true"/>
        </w:rPr>
        <w:t xml:space="preserve">מאפיינים הנוגעים לנשדד </w:t>
      </w:r>
      <w:r>
        <w:rPr>
          <w:rtl w:val="true"/>
        </w:rPr>
        <w:t>(</w:t>
      </w:r>
      <w:r>
        <w:rPr>
          <w:rtl w:val="true"/>
        </w:rPr>
        <w:t>קשיש</w:t>
      </w:r>
      <w:r>
        <w:rPr>
          <w:rtl w:val="true"/>
        </w:rPr>
        <w:t xml:space="preserve">, </w:t>
      </w:r>
      <w:r>
        <w:rPr>
          <w:rtl w:val="true"/>
        </w:rPr>
        <w:t>קטין וכיוצ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); </w:t>
      </w:r>
      <w:r>
        <w:rPr>
          <w:rtl w:val="true"/>
        </w:rPr>
        <w:t>טיב הרכוש שנשדד</w:t>
      </w:r>
      <w:r>
        <w:rPr>
          <w:rtl w:val="true"/>
        </w:rPr>
        <w:t xml:space="preserve">; </w:t>
      </w:r>
      <w:r>
        <w:rPr>
          <w:rtl w:val="true"/>
        </w:rPr>
        <w:t xml:space="preserve">מקום השוד </w:t>
      </w:r>
      <w:r>
        <w:rPr>
          <w:rtl w:val="true"/>
        </w:rPr>
        <w:t>(</w:t>
      </w:r>
      <w:r>
        <w:rPr>
          <w:rtl w:val="true"/>
        </w:rPr>
        <w:t>דירה</w:t>
      </w:r>
      <w:r>
        <w:rPr>
          <w:rtl w:val="true"/>
        </w:rPr>
        <w:t xml:space="preserve">, </w:t>
      </w:r>
      <w:r>
        <w:rPr>
          <w:rtl w:val="true"/>
        </w:rPr>
        <w:t>בית עסק</w:t>
      </w:r>
      <w:r>
        <w:rPr>
          <w:rtl w:val="true"/>
        </w:rPr>
        <w:t xml:space="preserve">, </w:t>
      </w:r>
      <w:r>
        <w:rPr>
          <w:rtl w:val="true"/>
        </w:rPr>
        <w:t>רחוב</w:t>
      </w:r>
      <w:r>
        <w:rPr>
          <w:rtl w:val="true"/>
        </w:rPr>
        <w:t xml:space="preserve">); </w:t>
      </w:r>
      <w:r>
        <w:rPr>
          <w:rtl w:val="true"/>
        </w:rPr>
        <w:t>שווי הגזלה וכן יתר הנסיבות האופפות את ביצוע העבירה</w:t>
      </w:r>
      <w:r>
        <w:rPr>
          <w:rtl w:val="true"/>
        </w:rPr>
        <w:t xml:space="preserve">.   </w:t>
      </w:r>
      <w:r>
        <w:rPr>
          <w:rtl w:val="true"/>
        </w:rPr>
        <w:t>על רקע האמור להלן</w:t>
      </w:r>
      <w:r>
        <w:rPr>
          <w:rtl w:val="true"/>
        </w:rPr>
        <w:t xml:space="preserve">, </w:t>
      </w:r>
      <w:r>
        <w:rPr>
          <w:rtl w:val="true"/>
        </w:rPr>
        <w:t>פסיקה מדגמית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4125/14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תאופיק חרב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6.1.15</w:t>
      </w:r>
      <w:r>
        <w:rPr>
          <w:rtl w:val="true"/>
        </w:rPr>
        <w:t xml:space="preserve">)- </w:t>
      </w:r>
      <w:r>
        <w:rPr>
          <w:rtl w:val="true"/>
        </w:rPr>
        <w:t xml:space="preserve">מקבל בית המשפט את ערעורו של נאשם שהורשע בעבירה של </w:t>
      </w:r>
      <w:r>
        <w:rPr>
          <w:u w:val="single"/>
          <w:rtl w:val="true"/>
        </w:rPr>
        <w:t>ניסיון שוד</w:t>
      </w:r>
      <w:r>
        <w:rPr>
          <w:rtl w:val="true"/>
        </w:rPr>
        <w:t xml:space="preserve"> לפי </w:t>
      </w:r>
      <w:hyperlink r:id="rId4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ומפחית את עונשו מ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 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בתיק זה דובר על מערער אשר ניסה לשדוד מכולת על ידי איום על המוכר באמצעות </w:t>
      </w:r>
      <w:r>
        <w:rPr>
          <w:b/>
          <w:b/>
          <w:bCs/>
          <w:rtl w:val="true"/>
        </w:rPr>
        <w:t>אקדח פלסטיק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ובהמשך נאבק עם המוכר </w:t>
      </w:r>
      <w:r>
        <w:rPr>
          <w:rtl w:val="true"/>
        </w:rPr>
        <w:t>(</w:t>
      </w:r>
      <w:r>
        <w:rPr>
          <w:rtl w:val="true"/>
        </w:rPr>
        <w:t>שנטל מידיו את אקדח הפלסטיק</w:t>
      </w:r>
      <w:r>
        <w:rPr>
          <w:rtl w:val="true"/>
        </w:rPr>
        <w:t xml:space="preserve">) </w:t>
      </w:r>
      <w:r>
        <w:rPr>
          <w:rtl w:val="true"/>
        </w:rPr>
        <w:t>על מנת לקחת את הקופה</w:t>
      </w:r>
      <w:r>
        <w:rPr>
          <w:rtl w:val="true"/>
        </w:rPr>
        <w:t xml:space="preserve">. </w:t>
      </w:r>
      <w:r>
        <w:rPr>
          <w:rtl w:val="true"/>
        </w:rPr>
        <w:t>בקבלו הערעור בית המשפט מציין כי רמת האלימות שהופעלה לא הייתה מן הקשות ועצם השימוש באקדח פלסטיק מעיד כי פוטנציאל הנזק אינו מן הגבוהים</w:t>
      </w:r>
      <w:r>
        <w:rPr>
          <w:rtl w:val="true"/>
        </w:rPr>
        <w:t xml:space="preserve">. </w:t>
      </w:r>
      <w:r>
        <w:rPr>
          <w:rtl w:val="true"/>
        </w:rPr>
        <w:t>הנאשם בתיק זה היה בעל עבר פלילי מכביד אך ישן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2908/16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 ישראל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דסיא מקשאו</w:t>
      </w:r>
      <w:r>
        <w:rPr>
          <w:u w:val="singl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22.5.16</w:t>
      </w:r>
      <w:r>
        <w:rPr>
          <w:rtl w:val="true"/>
        </w:rPr>
        <w:t xml:space="preserve">)- </w:t>
      </w:r>
      <w:r>
        <w:rPr>
          <w:rtl w:val="true"/>
        </w:rPr>
        <w:t xml:space="preserve">מקבל בית המשפט את ערעורה של המדינה על קולת העונש בעניינו של מי שהורשע </w:t>
      </w:r>
      <w:r>
        <w:rPr>
          <w:u w:val="single"/>
          <w:rtl w:val="true"/>
        </w:rPr>
        <w:t>בניסיון שוד</w:t>
      </w:r>
      <w:r>
        <w:rPr>
          <w:rtl w:val="true"/>
        </w:rPr>
        <w:t xml:space="preserve"> של חנות תכשיטים ביחד עם אחר</w:t>
      </w:r>
      <w:r>
        <w:rPr>
          <w:rtl w:val="true"/>
        </w:rPr>
        <w:t xml:space="preserve">, </w:t>
      </w:r>
      <w:r>
        <w:rPr>
          <w:rtl w:val="true"/>
        </w:rPr>
        <w:t>באמצעות מצית בצורת אקדח</w:t>
      </w:r>
      <w:r>
        <w:rPr>
          <w:rtl w:val="true"/>
        </w:rPr>
        <w:t xml:space="preserve">. </w:t>
      </w:r>
      <w:r>
        <w:rPr>
          <w:rtl w:val="true"/>
        </w:rPr>
        <w:t>במקרה זה המוכרים התעמתו עם השודד וגרמו לו להימלט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גזר על הנאשם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מאסר בפועל</w:t>
      </w:r>
      <w:r>
        <w:rPr>
          <w:rtl w:val="true"/>
        </w:rPr>
        <w:t xml:space="preserve">. </w:t>
      </w:r>
      <w:r>
        <w:rPr>
          <w:rtl w:val="true"/>
        </w:rPr>
        <w:t>בית המשפט העליון מחמיר בעונשו של הנאשם ל</w:t>
      </w:r>
      <w:r>
        <w:rPr>
          <w:rtl w:val="true"/>
        </w:rPr>
        <w:t xml:space="preserve">-  </w:t>
      </w:r>
      <w:r>
        <w:rPr/>
        <w:t>18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תוך הפעלת מאסר מותנה בחפיפה חלקית</w:t>
      </w:r>
      <w:r>
        <w:rPr>
          <w:rtl w:val="true"/>
        </w:rPr>
        <w:t xml:space="preserve">, </w:t>
      </w:r>
      <w:r>
        <w:rPr>
          <w:rtl w:val="true"/>
        </w:rPr>
        <w:t xml:space="preserve">כך שעונשו של הנאשם עמד על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חודשים מאסר בפועל</w:t>
      </w:r>
      <w:r>
        <w:rPr>
          <w:rtl w:val="true"/>
        </w:rPr>
        <w:t xml:space="preserve">. </w:t>
      </w:r>
      <w:r>
        <w:rPr>
          <w:rtl w:val="true"/>
        </w:rPr>
        <w:t>בית המשפט מציין כי ההחמרה נעשתה במתינות</w:t>
      </w:r>
      <w:r>
        <w:rPr>
          <w:rtl w:val="true"/>
        </w:rPr>
        <w:t xml:space="preserve">, </w:t>
      </w:r>
      <w:r>
        <w:rPr>
          <w:rtl w:val="true"/>
        </w:rPr>
        <w:t>מתוך כך שערכאת ערעור אינה ממצה את הדין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color w:val="0000FF"/>
            <w:u w:val="single"/>
          </w:rPr>
          <w:t>3428/14</w:t>
        </w:r>
      </w:hyperlink>
      <w:r>
        <w:rPr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נתנאל צרפתי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 ישראל</w:t>
      </w:r>
      <w:r>
        <w:rPr>
          <w:rtl w:val="true"/>
        </w:rPr>
        <w:t xml:space="preserve"> נדון עניינו של מערער שהורשע ביחד עם אחר בניסיון שוד וקשירת קשר לביצוע פשע</w:t>
      </w:r>
      <w:r>
        <w:rPr>
          <w:rtl w:val="true"/>
        </w:rPr>
        <w:t xml:space="preserve">. </w:t>
      </w:r>
      <w:r>
        <w:rPr>
          <w:rtl w:val="true"/>
        </w:rPr>
        <w:t>בתיק זה ידובר על נאשם שהצטייד בדומה למקרה שבפנינו במסכת גרב</w:t>
      </w:r>
      <w:r>
        <w:rPr>
          <w:rtl w:val="true"/>
        </w:rPr>
        <w:t xml:space="preserve">, </w:t>
      </w:r>
      <w:r>
        <w:rPr>
          <w:rtl w:val="true"/>
        </w:rPr>
        <w:t xml:space="preserve">ונשק </w:t>
      </w:r>
      <w:r>
        <w:rPr>
          <w:rtl w:val="true"/>
        </w:rPr>
        <w:t>(</w:t>
      </w:r>
      <w:r>
        <w:rPr>
          <w:rtl w:val="true"/>
        </w:rPr>
        <w:t>ללא מחסנית</w:t>
      </w:r>
      <w:r>
        <w:rPr>
          <w:rtl w:val="true"/>
        </w:rPr>
        <w:t xml:space="preserve">). </w:t>
      </w:r>
      <w:r>
        <w:rPr>
          <w:rtl w:val="true"/>
        </w:rPr>
        <w:t>בתיק זה התפתח מאבק עם מוכר החנות שהצליח להוציא את הנשק מידו של הנאשם</w:t>
      </w:r>
      <w:r>
        <w:rPr>
          <w:rtl w:val="true"/>
        </w:rPr>
        <w:t xml:space="preserve">, </w:t>
      </w:r>
      <w:r>
        <w:rPr>
          <w:rtl w:val="true"/>
        </w:rPr>
        <w:t>ולהשתלט עליו</w:t>
      </w:r>
      <w:r>
        <w:rPr>
          <w:rtl w:val="true"/>
        </w:rPr>
        <w:t xml:space="preserve">. </w:t>
      </w:r>
      <w:r>
        <w:rPr>
          <w:rtl w:val="true"/>
        </w:rPr>
        <w:t>בית המשפט המחוזי גוזר על הנאשם</w:t>
      </w:r>
      <w:r>
        <w:rPr>
          <w:rtl w:val="true"/>
        </w:rPr>
        <w:t xml:space="preserve">, </w:t>
      </w:r>
      <w:r>
        <w:rPr>
          <w:u w:val="single"/>
          <w:rtl w:val="true"/>
        </w:rPr>
        <w:t>נעדר עבר פלילי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שהודה כבר בחקירתו 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 מאסר בפועל</w:t>
      </w:r>
      <w:r>
        <w:rPr>
          <w:rtl w:val="true"/>
        </w:rPr>
        <w:t xml:space="preserve">. </w:t>
      </w:r>
      <w:r>
        <w:rPr>
          <w:rtl w:val="true"/>
        </w:rPr>
        <w:t>בית המשפט העליון בשים לב לשיקולי אחדות הנאשם ולהליך טיפולי שעבר הנאשם במאסרו</w:t>
      </w:r>
      <w:r>
        <w:rPr>
          <w:rtl w:val="true"/>
        </w:rPr>
        <w:t xml:space="preserve">, </w:t>
      </w:r>
      <w:r>
        <w:rPr>
          <w:rtl w:val="true"/>
        </w:rPr>
        <w:t xml:space="preserve">מפחית מהעונש ומעמידו על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 מאסר בפועל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6001/13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אלמו קסה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29.1.14</w:t>
      </w:r>
      <w:r>
        <w:rPr>
          <w:rtl w:val="true"/>
        </w:rPr>
        <w:t xml:space="preserve">)- </w:t>
      </w:r>
      <w:r>
        <w:rPr>
          <w:rtl w:val="true"/>
        </w:rPr>
        <w:t>המדובר בניסיון שוד של מוכר בתחנת דלק באמצעות סכין כשהמערער שרוי תחת השפעת אלכוהול</w:t>
      </w:r>
      <w:r>
        <w:rPr>
          <w:rtl w:val="true"/>
        </w:rPr>
        <w:t xml:space="preserve">. </w:t>
      </w:r>
      <w:r>
        <w:rPr>
          <w:rtl w:val="true"/>
        </w:rPr>
        <w:t>בגין מעשים אלו נדון המערער ל</w:t>
      </w:r>
      <w:r>
        <w:rPr>
          <w:rtl w:val="true"/>
        </w:rPr>
        <w:t xml:space="preserve">-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 </w:t>
      </w:r>
      <w:r>
        <w:rPr>
          <w:rtl w:val="true"/>
        </w:rPr>
        <w:t>בית המשפט העליון דוחה את הערעור מטעם ההגנה בקובעו כי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העובדה שישנם מעשי שוד חמורים יותר בנסיבותיהם אין פירושה כי מעשה השוד שלפנינו הוא ברף החומרה התחתון או כי לא היה אלים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טענה שהועלתה 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 ההגנה בבית המשפט קמא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לכך יש להוסיף את עברו הפלילי של המערער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אשר חרף גילו הצעיר הספיק לצבור לחובתו הרשעה קודמת בעבירות אלימות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בין היתר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בהקשר זה העיר בית המשפט קמא ובצדק כי המערער לא השכיל לנצל את ההזדמנויות שניתנו לו בעבר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לבסוף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 ניתן להתעלם גם מהערכת קצין המבחן כי מהמערער נשקף סיכון גבוה להישנות עבירות אלימות בדרגה 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נתון שיש בו כדי ללמד על הצורך בהטלת עונש מאסר ממושך ומרתיע בנסיבות העניין</w:t>
      </w:r>
      <w:r>
        <w:rPr>
          <w:b/>
          <w:bCs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שושני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נדון עניינו של נאשם שנגזרו עליו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</w:t>
      </w:r>
      <w:r>
        <w:rPr>
          <w:rtl w:val="true"/>
        </w:rPr>
        <w:t>(</w:t>
      </w:r>
      <w:r>
        <w:rPr>
          <w:rtl w:val="true"/>
        </w:rPr>
        <w:t>הכוללים מאסר מותנה</w:t>
      </w:r>
      <w:r>
        <w:rPr>
          <w:rtl w:val="true"/>
        </w:rPr>
        <w:t xml:space="preserve">) </w:t>
      </w:r>
      <w:r>
        <w:rPr>
          <w:rtl w:val="true"/>
        </w:rPr>
        <w:t>בגין ביצוע עבירה של ניסיון שוד</w:t>
      </w:r>
      <w:r>
        <w:rPr>
          <w:b/>
          <w:b/>
          <w:bCs/>
          <w:rtl w:val="true"/>
        </w:rPr>
        <w:t xml:space="preserve"> </w:t>
      </w:r>
      <w:r>
        <w:rPr>
          <w:u w:val="single"/>
          <w:rtl w:val="true"/>
        </w:rPr>
        <w:t>באמצעות פתק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העליון מקבל את ערעור המדינה על קולת  העונש ומעמיד את עונשו על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 מאסר  בפועל</w:t>
      </w:r>
      <w:r>
        <w:rPr>
          <w:rtl w:val="true"/>
        </w:rPr>
        <w:t xml:space="preserve">. </w:t>
      </w:r>
      <w:r>
        <w:rPr>
          <w:rtl w:val="true"/>
        </w:rPr>
        <w:t>במקרה זה דובר על נאשם בעל עבר פלילי מכביד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7516/12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פלוני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1.8.13</w:t>
      </w:r>
      <w:r>
        <w:rPr>
          <w:rtl w:val="true"/>
        </w:rPr>
        <w:t xml:space="preserve">)- </w:t>
      </w:r>
      <w:r>
        <w:rPr>
          <w:rtl w:val="true"/>
        </w:rPr>
        <w:t xml:space="preserve">נדחה ערעור של נאשם אשר הוטלו עליו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המערער הורשע בביצוע עבירה שעניינה שוד סניף דואר</w:t>
      </w:r>
      <w:r>
        <w:rPr>
          <w:rtl w:val="true"/>
        </w:rPr>
        <w:t xml:space="preserve">, </w:t>
      </w:r>
      <w:r>
        <w:rPr>
          <w:rtl w:val="true"/>
        </w:rPr>
        <w:t xml:space="preserve">תוך שימוש </w:t>
      </w:r>
      <w:r>
        <w:rPr>
          <w:b/>
          <w:b/>
          <w:bCs/>
          <w:rtl w:val="true"/>
        </w:rPr>
        <w:t>באקדח דמה</w:t>
      </w:r>
      <w:r>
        <w:rPr>
          <w:rtl w:val="true"/>
        </w:rPr>
        <w:t xml:space="preserve">, </w:t>
      </w:r>
      <w:r>
        <w:rPr>
          <w:rtl w:val="true"/>
        </w:rPr>
        <w:t>כאשר הוא רעול פנים</w:t>
      </w:r>
      <w:r>
        <w:rPr>
          <w:rtl w:val="true"/>
        </w:rPr>
        <w:t xml:space="preserve">; </w:t>
      </w:r>
      <w:r>
        <w:rPr>
          <w:rtl w:val="true"/>
        </w:rPr>
        <w:t>העבירה בוצעה בהיותו של המערער קרוב לגיל הבגירות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6640/16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אזר בדייב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19.7.17</w:t>
      </w:r>
      <w:r>
        <w:rPr>
          <w:rtl w:val="true"/>
        </w:rPr>
        <w:t xml:space="preserve">)- </w:t>
      </w:r>
      <w:r>
        <w:rPr>
          <w:rtl w:val="true"/>
        </w:rPr>
        <w:t xml:space="preserve">קיבל בית המשפט את ערעורו של נאשם אשר הוטל עליו מאסר לתקופה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ועונשו הופחת ל</w:t>
      </w:r>
      <w:r>
        <w:rPr>
          <w:rtl w:val="true"/>
        </w:rPr>
        <w:t>-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המדובר במי שהורשע כי שדד חנות באמצעות אקדח או דמוי אקדח </w:t>
      </w:r>
      <w:r>
        <w:rPr>
          <w:rtl w:val="true"/>
        </w:rPr>
        <w:t>(</w:t>
      </w:r>
      <w:r>
        <w:rPr>
          <w:rtl w:val="true"/>
        </w:rPr>
        <w:t>כלי השוד לא נתפס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  <w:t>מנגד ניתן למצוא גם פסיקה מקלה יותר</w:t>
      </w:r>
      <w:r>
        <w:rPr>
          <w:rtl w:val="true"/>
        </w:rPr>
        <w:t xml:space="preserve">, </w:t>
      </w:r>
      <w:r>
        <w:rPr>
          <w:rtl w:val="true"/>
        </w:rPr>
        <w:t xml:space="preserve">כך ראה בין היתר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5561/14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גפן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שם בית המשפט העליון מקל בעונשו של הנאשם שהורשע בעביר של ניסיון שוד ותקיפה</w:t>
      </w:r>
      <w:r>
        <w:rPr>
          <w:rtl w:val="true"/>
        </w:rPr>
        <w:t xml:space="preserve">, </w:t>
      </w:r>
      <w:r>
        <w:rPr>
          <w:rtl w:val="true"/>
        </w:rPr>
        <w:t>ומעמידו על תשעה חודשי מאסר בפועל נוכח קיומו של הליך שיקומי משמעותי</w:t>
      </w:r>
      <w:r>
        <w:rPr>
          <w:rtl w:val="true"/>
        </w:rPr>
        <w:t xml:space="preserve">. </w:t>
      </w:r>
      <w:r>
        <w:rPr>
          <w:b/>
          <w:bCs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  <w:t>מידת הפגיעה של הנאשם בערכים המוגנים וככל שהדבר נוגע לעבירת ניסיון השוד הינה משמעותית</w:t>
      </w:r>
      <w:r>
        <w:rPr>
          <w:rtl w:val="true"/>
        </w:rPr>
        <w:t xml:space="preserve">. </w:t>
      </w:r>
      <w:r>
        <w:rPr>
          <w:rtl w:val="true"/>
        </w:rPr>
        <w:t>בהקשר לאמור</w:t>
      </w:r>
      <w:r>
        <w:rPr>
          <w:rtl w:val="true"/>
        </w:rPr>
        <w:t xml:space="preserve">, </w:t>
      </w:r>
      <w:r>
        <w:rPr>
          <w:rtl w:val="true"/>
        </w:rPr>
        <w:t>מעשיו של הנאשם נעשו לאחר תכנון ומחשבה תחילה</w:t>
      </w:r>
      <w:r>
        <w:rPr>
          <w:rtl w:val="true"/>
        </w:rPr>
        <w:t xml:space="preserve">, </w:t>
      </w:r>
      <w:r>
        <w:rPr>
          <w:rtl w:val="true"/>
        </w:rPr>
        <w:t>דבר הנלמד מהצטיידותו של הנאשם מבעוד מועד בכפפות לַטֶקס שנועדו למנוע הותרת טביעות אצבע על האקדח או על חפצים שונים בחנות ביחד עם המסכה שכל תכליתה להקשות על זיהויו</w:t>
      </w:r>
      <w:r>
        <w:rPr>
          <w:rtl w:val="true"/>
        </w:rPr>
        <w:t xml:space="preserve">. </w:t>
      </w:r>
      <w:r>
        <w:rPr>
          <w:rtl w:val="true"/>
        </w:rPr>
        <w:t>הצורך בהסוואת זהותו מקבל משנה תוקף בשים לב לכך שהלה מבקש לבצע את השוד בסביבת מגוריו</w:t>
      </w:r>
      <w:r>
        <w:rPr>
          <w:rtl w:val="true"/>
        </w:rPr>
        <w:t xml:space="preserve">, </w:t>
      </w:r>
      <w:r>
        <w:rPr>
          <w:rtl w:val="true"/>
        </w:rPr>
        <w:t>ומכאן גם הסיכוי הרב יותר שיזוהה על ידי מי מהנוכחים בחנות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  <w:t>על כך שמדובר במעשים מתכוננים ניתן ללמוד גם מאופן התנהלותו של הנאשם כפי שהדבר נלמד מסרטון המתעד את ניסיון השוד</w:t>
      </w:r>
      <w:r>
        <w:rPr>
          <w:rtl w:val="true"/>
        </w:rPr>
        <w:t xml:space="preserve">. </w:t>
      </w:r>
      <w:r>
        <w:rPr>
          <w:rtl w:val="true"/>
        </w:rPr>
        <w:t>בסרטון זה</w:t>
      </w:r>
      <w:r>
        <w:rPr>
          <w:rtl w:val="true"/>
        </w:rPr>
        <w:t xml:space="preserve">, </w:t>
      </w:r>
      <w:r>
        <w:rPr>
          <w:rtl w:val="true"/>
        </w:rPr>
        <w:t>ניתן להבחין בהנאשם נכנס לחנות ובאופן מידיי וללא כל אינטראקציה מקדימה</w:t>
      </w:r>
      <w:r>
        <w:rPr>
          <w:rtl w:val="true"/>
        </w:rPr>
        <w:t xml:space="preserve">, </w:t>
      </w:r>
      <w:r>
        <w:rPr>
          <w:rtl w:val="true"/>
        </w:rPr>
        <w:t>ניגש למוכר</w:t>
      </w:r>
      <w:r>
        <w:rPr>
          <w:rtl w:val="true"/>
        </w:rPr>
        <w:t xml:space="preserve">, </w:t>
      </w:r>
      <w:r>
        <w:rPr>
          <w:rtl w:val="true"/>
        </w:rPr>
        <w:t>מכוון לעבר ראשו את האקדח</w:t>
      </w:r>
      <w:r>
        <w:rPr>
          <w:rtl w:val="true"/>
        </w:rPr>
        <w:t xml:space="preserve">, </w:t>
      </w:r>
      <w:r>
        <w:rPr>
          <w:rtl w:val="true"/>
        </w:rPr>
        <w:t>ודורש ממנו את הכסף בעודו דוחף אותו לעבר הקופה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  <w:t>חומרה יתרה מוצא בית המשפט בשימוש אותו עושה הנאשם באקדח אמיתי שבתוכו מחסנית על מנת לאיים באמצעותם על המוכר ועל הנוכחים בחנות</w:t>
      </w:r>
      <w:r>
        <w:rPr>
          <w:rtl w:val="true"/>
        </w:rPr>
        <w:t xml:space="preserve">. </w:t>
      </w:r>
      <w:r>
        <w:rPr>
          <w:rtl w:val="true"/>
        </w:rPr>
        <w:t>קל לשער את ההשפעה הרבה והמורא הגלום בשימוש באקדח וכיונו לעבר ראשו של המתלונן</w:t>
      </w:r>
      <w:r>
        <w:rPr>
          <w:rtl w:val="true"/>
        </w:rPr>
        <w:t xml:space="preserve">, </w:t>
      </w:r>
      <w:r>
        <w:rPr>
          <w:rtl w:val="true"/>
        </w:rPr>
        <w:t>וכך גם לעברם של האחרים הנוכחים במקום</w:t>
      </w:r>
      <w:r>
        <w:rPr>
          <w:rtl w:val="true"/>
        </w:rPr>
        <w:t xml:space="preserve">. </w:t>
      </w:r>
      <w:r>
        <w:rPr>
          <w:rtl w:val="true"/>
        </w:rPr>
        <w:t>לעיתים די בעצם האמירה של השודד כי ברשותו אקדח</w:t>
      </w:r>
      <w:r>
        <w:rPr>
          <w:rtl w:val="true"/>
        </w:rPr>
        <w:t xml:space="preserve">, </w:t>
      </w:r>
      <w:r>
        <w:rPr>
          <w:rtl w:val="true"/>
        </w:rPr>
        <w:t>אף אם הדבר אינו נכון</w:t>
      </w:r>
      <w:r>
        <w:rPr>
          <w:rtl w:val="true"/>
        </w:rPr>
        <w:t xml:space="preserve">, </w:t>
      </w:r>
      <w:r>
        <w:rPr>
          <w:rtl w:val="true"/>
        </w:rPr>
        <w:t xml:space="preserve">כדי להוות איום של ממש כלפי הקורבן </w:t>
      </w:r>
      <w:r>
        <w:rPr>
          <w:rtl w:val="true"/>
        </w:rPr>
        <w:t>(</w:t>
      </w:r>
      <w:r>
        <w:rPr>
          <w:rtl w:val="true"/>
        </w:rPr>
        <w:t>וראה עניין שושני</w:t>
      </w:r>
      <w:r>
        <w:rPr>
          <w:rtl w:val="true"/>
        </w:rPr>
        <w:t xml:space="preserve">, </w:t>
      </w:r>
      <w:r>
        <w:rPr>
          <w:rtl w:val="true"/>
        </w:rPr>
        <w:t>שם כאמור הנאשם כתב על הפתק</w:t>
      </w:r>
      <w:r>
        <w:rPr>
          <w:rtl w:val="true"/>
        </w:rPr>
        <w:t>: "...</w:t>
      </w:r>
      <w:r>
        <w:rPr>
          <w:rtl w:val="true"/>
        </w:rPr>
        <w:t>אני חמוש באקדח ולא יהסס לפרק לך את המוח</w:t>
      </w:r>
      <w:r>
        <w:rPr>
          <w:rtl w:val="true"/>
        </w:rPr>
        <w:t xml:space="preserve">..").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  <w:t xml:space="preserve">על החומרה הגלומה בדפוס פעולה שכזה ניתן ללמוד גם מהאופן שבו ראה המחוקק לקבוע בצידה של עבירת שוד </w:t>
      </w:r>
      <w:r>
        <w:rPr>
          <w:rtl w:val="true"/>
        </w:rPr>
        <w:t>"</w:t>
      </w:r>
      <w:r>
        <w:rPr>
          <w:rtl w:val="true"/>
        </w:rPr>
        <w:t>רגילה</w:t>
      </w:r>
      <w:r>
        <w:rPr>
          <w:rtl w:val="true"/>
        </w:rPr>
        <w:t xml:space="preserve">" </w:t>
      </w:r>
      <w:r>
        <w:rPr>
          <w:rtl w:val="true"/>
        </w:rPr>
        <w:t xml:space="preserve">עונש מקסימום של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בעוד לצד עבירה של שוד שבה היה השודד מצויד בנשק עונש מקסימום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  <w:t>ההגנה הרחיבה טיעוניה כי האקדח אותו נשא הנאשם היה נטול תחמושת</w:t>
      </w:r>
      <w:r>
        <w:rPr>
          <w:rtl w:val="true"/>
        </w:rPr>
        <w:t xml:space="preserve">. </w:t>
      </w:r>
      <w:r>
        <w:rPr>
          <w:rtl w:val="true"/>
        </w:rPr>
        <w:t>אכן יש בנתון זה באספקט של פוטנציאל הנזק</w:t>
      </w:r>
      <w:r>
        <w:rPr>
          <w:rtl w:val="true"/>
        </w:rPr>
        <w:t xml:space="preserve">, </w:t>
      </w:r>
      <w:r>
        <w:rPr>
          <w:rtl w:val="true"/>
        </w:rPr>
        <w:t>ללמד כי הסיכוי שהאירוע ידרדר לכדי אלימות קשה קטן יותר</w:t>
      </w:r>
      <w:r>
        <w:rPr>
          <w:rtl w:val="true"/>
        </w:rPr>
        <w:t xml:space="preserve">,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אין לתת לכך משקל כה רב כפי שסבורה ההגנה</w:t>
      </w:r>
      <w:r>
        <w:rPr>
          <w:rtl w:val="true"/>
        </w:rPr>
        <w:t xml:space="preserve">. </w:t>
      </w:r>
      <w:r>
        <w:rPr>
          <w:rtl w:val="true"/>
        </w:rPr>
        <w:t>הדברים אמורים בשים לב לכך שהמתלונן שמבחין באקדח אמיתי ובתוכו מחסנית אינו מודע להיעדר התחמושת</w:t>
      </w:r>
      <w:r>
        <w:rPr>
          <w:rtl w:val="true"/>
        </w:rPr>
        <w:t xml:space="preserve">, </w:t>
      </w:r>
      <w:r>
        <w:rPr>
          <w:rtl w:val="true"/>
        </w:rPr>
        <w:t>ומכאן גם ההשפעה שיש לאירוע זה עליו וחששו</w:t>
      </w:r>
      <w:r>
        <w:rPr>
          <w:rtl w:val="true"/>
        </w:rPr>
        <w:t xml:space="preserve">, </w:t>
      </w:r>
      <w:r>
        <w:rPr>
          <w:rtl w:val="true"/>
        </w:rPr>
        <w:t>אינם פוחתים</w:t>
      </w:r>
      <w:r>
        <w:rPr>
          <w:rtl w:val="true"/>
        </w:rPr>
        <w:t xml:space="preserve">. </w:t>
      </w:r>
      <w:r>
        <w:rPr>
          <w:rtl w:val="true"/>
        </w:rPr>
        <w:t>למותר להוסיף כי עצם השימוש באקדח מעמיד גם את הנאשם עצמו בסכנה היה ומי מהנוכחים במקום או שוטר שיגיע לזירה יפעלו לנטרלו בכך שירו בו</w:t>
      </w:r>
      <w:r>
        <w:rPr>
          <w:rtl w:val="true"/>
        </w:rPr>
        <w:t xml:space="preserve">, </w:t>
      </w:r>
      <w:r>
        <w:rPr>
          <w:rtl w:val="true"/>
        </w:rPr>
        <w:t xml:space="preserve">והיו דברים מעולם </w:t>
      </w:r>
      <w:r>
        <w:rPr>
          <w:rtl w:val="true"/>
        </w:rPr>
        <w:t>(</w:t>
      </w:r>
      <w:r>
        <w:rPr>
          <w:rtl w:val="true"/>
        </w:rPr>
        <w:t xml:space="preserve">וראה בין היתר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1825/12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מתן שמעון נגד מדינת ישראל</w:t>
      </w:r>
      <w:r>
        <w:rPr>
          <w:rtl w:val="true"/>
        </w:rPr>
        <w:t xml:space="preserve">).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  <w:t>דפוס הפעולה של הנאשם מגלם בתוכו תעוזה רבה</w:t>
      </w:r>
      <w:r>
        <w:rPr>
          <w:rtl w:val="true"/>
        </w:rPr>
        <w:t xml:space="preserve">, </w:t>
      </w:r>
      <w:r>
        <w:rPr>
          <w:rtl w:val="true"/>
        </w:rPr>
        <w:t>בפרט כאשר זה מבצע את השוד בשעה שישנה תנועה ערה מחוץ לחנות ומחוצה לה  והכל כאמור בסביבת מגוריו</w:t>
      </w:r>
      <w:r>
        <w:rPr>
          <w:rtl w:val="true"/>
        </w:rPr>
        <w:t xml:space="preserve">. </w:t>
      </w:r>
      <w:r>
        <w:rPr>
          <w:rtl w:val="true"/>
        </w:rPr>
        <w:t xml:space="preserve">בסרטון מצלמות האבטחה ניתן לראות כיצד הנאשם </w:t>
      </w:r>
      <w:r>
        <w:rPr>
          <w:rtl w:val="true"/>
        </w:rPr>
        <w:t>"</w:t>
      </w:r>
      <w:r>
        <w:rPr>
          <w:rtl w:val="true"/>
        </w:rPr>
        <w:t>מתאים</w:t>
      </w:r>
      <w:r>
        <w:rPr>
          <w:rtl w:val="true"/>
        </w:rPr>
        <w:t xml:space="preserve">" </w:t>
      </w:r>
      <w:r>
        <w:rPr>
          <w:rtl w:val="true"/>
        </w:rPr>
        <w:t>עצמו לזירה</w:t>
      </w:r>
      <w:r>
        <w:rPr>
          <w:rtl w:val="true"/>
        </w:rPr>
        <w:t xml:space="preserve">, </w:t>
      </w:r>
      <w:r>
        <w:rPr>
          <w:rtl w:val="true"/>
        </w:rPr>
        <w:t>כאשר הוא מורה עם האקדח למוכר ללכת לקופה ובמקביל מורה ליתרת הנוכחים במקום להתרכז בפינת החנות</w:t>
      </w:r>
      <w:r>
        <w:rPr>
          <w:rtl w:val="true"/>
        </w:rPr>
        <w:t xml:space="preserve">. </w:t>
      </w:r>
      <w:r>
        <w:rPr>
          <w:rtl w:val="true"/>
        </w:rPr>
        <w:t>כך גם זה עושה בשעה שעובר אורח תמים נכנס לחנות</w:t>
      </w:r>
      <w:r>
        <w:rPr>
          <w:rtl w:val="true"/>
        </w:rPr>
        <w:t xml:space="preserve">, </w:t>
      </w:r>
      <w:r>
        <w:rPr>
          <w:rtl w:val="true"/>
        </w:rPr>
        <w:t>וזה מורה לו להצטרף ליתרת הנוכחים בפינת החנות</w:t>
      </w:r>
      <w:r>
        <w:rPr>
          <w:rtl w:val="true"/>
        </w:rPr>
        <w:t xml:space="preserve">. </w:t>
      </w:r>
      <w:r>
        <w:rPr>
          <w:rtl w:val="true"/>
        </w:rPr>
        <w:t>מזימתו של הנאשם לא הגיעה לכלל מימוש בשל כך שהמוכר לחץ על לחצן המצוקה והפעיל את האזעקה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ככל הנראה בהצטרף לכך שרבים התגודדו מחוץ לחנות והבחינו במעשיו</w:t>
      </w:r>
      <w:r>
        <w:rPr>
          <w:rtl w:val="true"/>
        </w:rPr>
        <w:t xml:space="preserve">. </w:t>
      </w:r>
      <w:r>
        <w:rPr>
          <w:rtl w:val="true"/>
        </w:rPr>
        <w:t>גם בעת מנוסתו נוקט הנאשם בדפוסי התנהגות עבריינים ומשליך את הכפפות שעטה על ידיו ואת המסכה ששימשו אותו לצורך השוד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  <w:t>הנאשם מבצע את המעשים באופן בלעדי ובלבדי</w:t>
      </w:r>
      <w:r>
        <w:rPr>
          <w:rtl w:val="true"/>
        </w:rPr>
        <w:t xml:space="preserve">, </w:t>
      </w:r>
      <w:r>
        <w:rPr>
          <w:rtl w:val="true"/>
        </w:rPr>
        <w:t>כשלדבריו שתה טרם ביצוע העבירה אלכוהול ופעל תחת השפעתו במטרה להשיג כסף ואלכוהול נוספים</w:t>
      </w:r>
      <w:r>
        <w:rPr>
          <w:rtl w:val="true"/>
        </w:rPr>
        <w:t xml:space="preserve">. </w:t>
      </w:r>
      <w:r>
        <w:rPr>
          <w:rtl w:val="true"/>
        </w:rPr>
        <w:t>דברים אלו של הנאשם יש לקחת בזהירות המתבקשת</w:t>
      </w:r>
      <w:r>
        <w:rPr>
          <w:rtl w:val="true"/>
        </w:rPr>
        <w:t xml:space="preserve">, </w:t>
      </w:r>
      <w:r>
        <w:rPr>
          <w:rtl w:val="true"/>
        </w:rPr>
        <w:t>שכן גם אם זה סובל מבעיית התמכרות לאלכוהול</w:t>
      </w:r>
      <w:r>
        <w:rPr>
          <w:rtl w:val="true"/>
        </w:rPr>
        <w:t xml:space="preserve">, </w:t>
      </w:r>
      <w:r>
        <w:rPr>
          <w:rtl w:val="true"/>
        </w:rPr>
        <w:t>התנהלותו הקונקרטית במהלך האירוע כפי שזו מתועדת רחוקה מלהתיישב עם אדם שפועל בחוסר שליטה ובאופן ספונטני</w:t>
      </w:r>
      <w:r>
        <w:rPr>
          <w:rtl w:val="true"/>
        </w:rPr>
        <w:t>,</w:t>
      </w:r>
      <w:r>
        <w:rPr>
          <w:rtl w:val="true"/>
        </w:rPr>
        <w:t>ו הדברים אמורים גם על רקע הצטיידות מבעוד מועד באקדח</w:t>
      </w:r>
      <w:r>
        <w:rPr>
          <w:rtl w:val="true"/>
        </w:rPr>
        <w:t xml:space="preserve">, </w:t>
      </w:r>
      <w:r>
        <w:rPr>
          <w:rtl w:val="true"/>
        </w:rPr>
        <w:t>מסכה וכפפות</w:t>
      </w:r>
      <w:r>
        <w:rPr>
          <w:rtl w:val="true"/>
        </w:rPr>
        <w:t xml:space="preserve">.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  <w:t>מנגד ולקולא</w:t>
      </w:r>
      <w:r>
        <w:rPr>
          <w:rtl w:val="true"/>
        </w:rPr>
        <w:t xml:space="preserve">, </w:t>
      </w:r>
      <w:r>
        <w:rPr>
          <w:rtl w:val="true"/>
        </w:rPr>
        <w:t>תילקח בחשבון העובדה כי הנאשם לא התעמת עם מי מהנוכחים במקום</w:t>
      </w:r>
      <w:r>
        <w:rPr>
          <w:rtl w:val="true"/>
        </w:rPr>
        <w:t xml:space="preserve">, </w:t>
      </w:r>
      <w:r>
        <w:rPr>
          <w:rtl w:val="true"/>
        </w:rPr>
        <w:t>ולמעט הזזתם של מי מהנוכחים</w:t>
      </w:r>
      <w:r>
        <w:rPr>
          <w:rtl w:val="true"/>
        </w:rPr>
        <w:t xml:space="preserve">, </w:t>
      </w:r>
      <w:r>
        <w:rPr>
          <w:rtl w:val="true"/>
        </w:rPr>
        <w:t xml:space="preserve">לא נקט באלימות ממשית </w:t>
      </w:r>
      <w:r>
        <w:rPr>
          <w:rtl w:val="true"/>
        </w:rPr>
        <w:t>(</w:t>
      </w:r>
      <w:r>
        <w:rPr>
          <w:rtl w:val="true"/>
        </w:rPr>
        <w:t>זאת בנפרד כמובן</w:t>
      </w:r>
      <w:r>
        <w:rPr>
          <w:rtl w:val="true"/>
        </w:rPr>
        <w:t xml:space="preserve">, </w:t>
      </w:r>
      <w:r>
        <w:rPr>
          <w:rtl w:val="true"/>
        </w:rPr>
        <w:t>מהאיום באמצעות האקדח</w:t>
      </w:r>
      <w:r>
        <w:rPr>
          <w:rtl w:val="true"/>
        </w:rPr>
        <w:t xml:space="preserve">). </w:t>
      </w:r>
      <w:r>
        <w:rPr>
          <w:rtl w:val="true"/>
        </w:rPr>
        <w:t>הנאשם נמלט מהמקום בשעה שהופעל לחצן המצוקה מבלי שצלח לשדוד רכוש או כסף מהקופה</w:t>
      </w:r>
      <w:r>
        <w:rPr>
          <w:rtl w:val="true"/>
        </w:rPr>
        <w:t xml:space="preserve">. </w:t>
      </w:r>
      <w:r>
        <w:rPr>
          <w:rtl w:val="true"/>
        </w:rPr>
        <w:t>האירוע עצמו היה קצר ומכניסתו של הנאשם לחנות ועד מנוסתו חולפות שניות בודדות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>
          <w:rFonts w:ascii="Calibri" w:hAnsi="Calibri" w:cs="Calibri"/>
          <w:rtl w:val="true"/>
        </w:rPr>
        <w:t>כסיכום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u w:val="single"/>
        </w:rPr>
        <w:t>30-14</w:t>
      </w:r>
      <w:r>
        <w:rPr>
          <w:rFonts w:ascii="Calibri" w:hAnsi="Calibri" w:cs="Calibri"/>
          <w:u w:val="single"/>
          <w:rtl w:val="true"/>
        </w:rPr>
        <w:t>חודשים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מאסר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מכל המקובץ לעיל</w:t>
      </w:r>
      <w:r>
        <w:rPr>
          <w:rtl w:val="true"/>
        </w:rPr>
        <w:t xml:space="preserve">, </w:t>
      </w:r>
      <w:r>
        <w:rPr>
          <w:rtl w:val="true"/>
        </w:rPr>
        <w:t xml:space="preserve">הריני לקבוע כי מתחם העונש ההולם ככל שהדבר נוגע </w:t>
      </w:r>
      <w:r>
        <w:rPr>
          <w:b/>
          <w:b/>
          <w:bCs/>
          <w:rtl w:val="true"/>
        </w:rPr>
        <w:t xml:space="preserve">לעבירת ניסיון השוד ונשיאת האקדח </w:t>
      </w:r>
      <w:r>
        <w:rPr>
          <w:rtl w:val="true"/>
        </w:rPr>
        <w:t xml:space="preserve">הנע בין </w:t>
      </w:r>
      <w:r>
        <w:rPr>
          <w:u w:val="single"/>
        </w:rPr>
        <w:t>48-28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 מאסר בפ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u w:val="single"/>
          <w:rtl w:val="true"/>
        </w:rPr>
        <w:t>ועל</w:t>
      </w:r>
      <w:r>
        <w:rPr>
          <w:u w:val="single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885" w:start="885" w:end="0"/>
        <w:jc w:val="both"/>
        <w:rPr/>
      </w:pPr>
      <w:r>
        <w:rPr>
          <w:rFonts w:eastAsia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בקביעת עונשו של הנאשם בגדרי המתחמים ולקולא תילקח בחשבון הודאתו</w:t>
      </w:r>
      <w:r>
        <w:rPr>
          <w:rtl w:val="true"/>
        </w:rPr>
        <w:t xml:space="preserve">, </w:t>
      </w:r>
      <w:r>
        <w:rPr>
          <w:rtl w:val="true"/>
        </w:rPr>
        <w:t>הודאה שיש בה משום חסכון בזמן שיפוטי יקר ובעקיפין גם הבעת חרטה ונטילת אחריות</w:t>
      </w:r>
      <w:r>
        <w:rPr>
          <w:rtl w:val="true"/>
        </w:rPr>
        <w:t xml:space="preserve">, </w:t>
      </w:r>
      <w:r>
        <w:rPr>
          <w:rtl w:val="true"/>
        </w:rPr>
        <w:t>כפי שהדברים גם עולים מדבריו 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לחומרא יש לתת משקל לעברו הפלילי של הנאשם המונה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הרשעות קודמות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אין המדובר בעבר פלילי מכביד באופן יחסי</w:t>
      </w:r>
      <w:r>
        <w:rPr>
          <w:rtl w:val="true"/>
        </w:rPr>
        <w:t xml:space="preserve">, </w:t>
      </w:r>
      <w:r>
        <w:rPr>
          <w:rtl w:val="true"/>
        </w:rPr>
        <w:t>יחד עם זאת יש לתת הדעת לכך שמרבית הרשעותיו של הנאשם הינן מהשנים האחרונות שניתן להבחין גם אסקלציה בטיב העבירות בהן זה חוטא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בשנת </w:t>
      </w:r>
      <w:r>
        <w:rPr>
          <w:b/>
          <w:bCs/>
        </w:rPr>
        <w:t>2010</w:t>
      </w:r>
      <w:r>
        <w:rPr>
          <w:rtl w:val="true"/>
        </w:rPr>
        <w:t xml:space="preserve"> </w:t>
      </w:r>
      <w:r>
        <w:rPr>
          <w:rtl w:val="true"/>
        </w:rPr>
        <w:t xml:space="preserve">במסגרת </w:t>
      </w:r>
      <w:hyperlink r:id="rId5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781/09</w:t>
        </w:r>
      </w:hyperlink>
      <w:r>
        <w:rPr>
          <w:rtl w:val="true"/>
        </w:rPr>
        <w:t xml:space="preserve"> </w:t>
      </w:r>
      <w:r>
        <w:rPr>
          <w:rtl w:val="true"/>
        </w:rPr>
        <w:t>הורשע הנאשם בעבירות של תקיפה הגורמת חבלה</w:t>
      </w:r>
      <w:r>
        <w:rPr>
          <w:rtl w:val="true"/>
        </w:rPr>
        <w:t xml:space="preserve">, </w:t>
      </w:r>
      <w:r>
        <w:rPr>
          <w:rtl w:val="true"/>
        </w:rPr>
        <w:t>היזק לרכוש והכשלת שוטר ונגזר עליו חודש מאסר בפועל שירוצה בדרך של עבודות 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בשנת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2016</w:t>
      </w:r>
      <w:r>
        <w:rPr>
          <w:rtl w:val="true"/>
        </w:rPr>
        <w:t xml:space="preserve"> </w:t>
      </w:r>
      <w:r>
        <w:rPr>
          <w:rtl w:val="true"/>
        </w:rPr>
        <w:t xml:space="preserve">במסגרת </w:t>
      </w:r>
      <w:hyperlink r:id="rId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53725-09-14</w:t>
        </w:r>
      </w:hyperlink>
      <w:r>
        <w:rPr>
          <w:rtl w:val="true"/>
        </w:rPr>
        <w:t xml:space="preserve"> </w:t>
      </w:r>
      <w:r>
        <w:rPr>
          <w:rtl w:val="true"/>
        </w:rPr>
        <w:t>שנדון בפניי</w:t>
      </w:r>
      <w:r>
        <w:rPr>
          <w:rtl w:val="true"/>
        </w:rPr>
        <w:t xml:space="preserve">, </w:t>
      </w:r>
      <w:r>
        <w:rPr>
          <w:rtl w:val="true"/>
        </w:rPr>
        <w:t xml:space="preserve">הורשע הנאשם בעבירה של פריצה לרכב ונגזר עליו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מאסר בפועל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שלא יעבור כל עבירת רכוש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בשנת </w:t>
      </w:r>
      <w:r>
        <w:rPr>
          <w:b/>
          <w:bCs/>
        </w:rPr>
        <w:t>2017</w:t>
      </w:r>
      <w:r>
        <w:rPr>
          <w:rtl w:val="true"/>
        </w:rPr>
        <w:t xml:space="preserve"> </w:t>
      </w:r>
      <w:r>
        <w:rPr>
          <w:rtl w:val="true"/>
        </w:rPr>
        <w:t xml:space="preserve">במסגרת </w:t>
      </w:r>
      <w:hyperlink r:id="rId5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13918-08-13</w:t>
        </w:r>
      </w:hyperlink>
      <w:r>
        <w:rPr>
          <w:rtl w:val="true"/>
        </w:rPr>
        <w:t xml:space="preserve"> </w:t>
      </w:r>
      <w:r>
        <w:rPr>
          <w:rtl w:val="true"/>
        </w:rPr>
        <w:t>הורשע הנאשם בעבירות של היזק לרכוש במזיד ותקיפה סתם</w:t>
      </w:r>
      <w:r>
        <w:rPr>
          <w:rtl w:val="true"/>
        </w:rPr>
        <w:t xml:space="preserve">. </w:t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>הוארך המאסר המותנה שהושת על הנאשם  למשך שנתיים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בשנת </w:t>
      </w:r>
      <w:r>
        <w:rPr>
          <w:b/>
          <w:bCs/>
        </w:rPr>
        <w:t>2018</w:t>
      </w:r>
      <w:r>
        <w:rPr>
          <w:rtl w:val="true"/>
        </w:rPr>
        <w:t xml:space="preserve">, </w:t>
      </w:r>
      <w:r>
        <w:rPr>
          <w:rtl w:val="true"/>
        </w:rPr>
        <w:t xml:space="preserve">במסגרת </w:t>
      </w:r>
      <w:hyperlink r:id="rId5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55434-08-16</w:t>
        </w:r>
      </w:hyperlink>
      <w:r>
        <w:rPr>
          <w:rtl w:val="true"/>
        </w:rPr>
        <w:t xml:space="preserve"> </w:t>
      </w:r>
      <w:r>
        <w:rPr>
          <w:rtl w:val="true"/>
        </w:rPr>
        <w:t>הורשע הנאשם בעבירות של גניבה בצוותא חדא</w:t>
      </w:r>
      <w:r>
        <w:rPr>
          <w:rtl w:val="true"/>
        </w:rPr>
        <w:t xml:space="preserve">, </w:t>
      </w:r>
      <w:r>
        <w:rPr>
          <w:rtl w:val="true"/>
        </w:rPr>
        <w:t xml:space="preserve">הונאה בכרטיס חיוב בצוותא והתפרצות בצוותא חדא ונגזרו עליו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מאסר בפועל</w:t>
      </w:r>
      <w:r>
        <w:rPr>
          <w:rtl w:val="true"/>
        </w:rPr>
        <w:t xml:space="preserve">. </w:t>
      </w:r>
      <w:r>
        <w:rPr>
          <w:rtl w:val="true"/>
        </w:rPr>
        <w:t>עיון בכתב האישום מלמד כי בתיק זה דובר על כך שנאשם ואחרים גנבו תיק של אחות בקופת חולים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התפרץ הנאשם בתחבולה יחד עם אחר לביתה של קשישה</w:t>
      </w:r>
      <w:r>
        <w:rPr>
          <w:rtl w:val="true"/>
        </w:rPr>
        <w:t xml:space="preserve">, </w:t>
      </w:r>
      <w:r>
        <w:rPr>
          <w:rtl w:val="true"/>
        </w:rPr>
        <w:t>גנב את תיקה שהכיל רכוש רב ואף משך כספים באמצעות כרטיסי האשראי שהיו בתיק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מבצע את המיוחס לו בשעה שהוא מצוי בתנאים מגבילים ומנהל את משפטו </w:t>
      </w:r>
      <w:r>
        <w:rPr>
          <w:rtl w:val="true"/>
        </w:rPr>
        <w:t>(</w:t>
      </w:r>
      <w:r>
        <w:rPr>
          <w:rtl w:val="true"/>
        </w:rPr>
        <w:t>בתיקים אחרים</w:t>
      </w:r>
      <w:r>
        <w:rPr>
          <w:rtl w:val="true"/>
        </w:rPr>
        <w:t xml:space="preserve">) </w:t>
      </w:r>
      <w:r>
        <w:rPr>
          <w:rtl w:val="true"/>
        </w:rPr>
        <w:t>כאשר תלוי ועומד נגדו מאסר מותנה שהינו בר הפעלה</w:t>
      </w:r>
      <w:r>
        <w:rPr>
          <w:rtl w:val="true"/>
        </w:rPr>
        <w:t xml:space="preserve">. </w:t>
      </w:r>
      <w:r>
        <w:rPr>
          <w:rtl w:val="true"/>
        </w:rPr>
        <w:t>אלה כאלה מלמדים שהנאשם לא הורתע מההליכים הפליליים</w:t>
      </w:r>
      <w:r>
        <w:rPr>
          <w:rtl w:val="true"/>
        </w:rPr>
        <w:t xml:space="preserve">, </w:t>
      </w:r>
      <w:r>
        <w:rPr>
          <w:rtl w:val="true"/>
        </w:rPr>
        <w:t>ולא מבין הפסול במעשיו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בתיק זה אין לדבר על הליכי שיקום הגם שקיימת נזקקות טיפולית ברורה</w:t>
      </w:r>
      <w:r>
        <w:rPr>
          <w:rtl w:val="true"/>
        </w:rPr>
        <w:t xml:space="preserve">. </w:t>
      </w:r>
      <w:r>
        <w:rPr>
          <w:rtl w:val="true"/>
        </w:rPr>
        <w:t>לא זו בלבד</w:t>
      </w:r>
      <w:r>
        <w:rPr>
          <w:rtl w:val="true"/>
        </w:rPr>
        <w:t xml:space="preserve">, </w:t>
      </w:r>
      <w:r>
        <w:rPr>
          <w:rtl w:val="true"/>
        </w:rPr>
        <w:t>שאין לדבר על הליך שיקומי</w:t>
      </w:r>
      <w:r>
        <w:rPr>
          <w:rtl w:val="true"/>
        </w:rPr>
        <w:t xml:space="preserve">, </w:t>
      </w:r>
      <w:r>
        <w:rPr>
          <w:rtl w:val="true"/>
        </w:rPr>
        <w:t>הרי שבעניינו של הנאשם קיימים שורה ארוכה של גורמי סיכון להישנות התנהגות פורצת חוק בעתיד</w:t>
      </w:r>
      <w:r>
        <w:rPr>
          <w:rtl w:val="true"/>
        </w:rPr>
        <w:t xml:space="preserve">. </w:t>
      </w:r>
      <w:r>
        <w:rPr>
          <w:rtl w:val="true"/>
        </w:rPr>
        <w:t>כך בין היתר פירט שירות המבחן בתסקירו כי מדובר בנאשם אשר גורמי אכיפת החוק</w:t>
      </w:r>
      <w:r>
        <w:rPr>
          <w:rtl w:val="true"/>
        </w:rPr>
        <w:t xml:space="preserve">, </w:t>
      </w:r>
      <w:r>
        <w:rPr>
          <w:rtl w:val="true"/>
        </w:rPr>
        <w:t>הליכים משפטיים וסנקציות עונשיות</w:t>
      </w:r>
      <w:r>
        <w:rPr>
          <w:rtl w:val="true"/>
        </w:rPr>
        <w:t xml:space="preserve">, </w:t>
      </w:r>
      <w:r>
        <w:rPr>
          <w:rtl w:val="true"/>
        </w:rPr>
        <w:t>אינם מהווים גורם מרתיע עבורו</w:t>
      </w:r>
      <w:r>
        <w:rPr>
          <w:rtl w:val="true"/>
        </w:rPr>
        <w:t xml:space="preserve">. </w:t>
      </w:r>
      <w:r>
        <w:rPr>
          <w:rtl w:val="true"/>
        </w:rPr>
        <w:t>לנאשם קושי ליצור קשר קרוב עם גורמי טיפול</w:t>
      </w:r>
      <w:r>
        <w:rPr>
          <w:rtl w:val="true"/>
        </w:rPr>
        <w:t xml:space="preserve">. </w:t>
      </w:r>
      <w:r>
        <w:rPr>
          <w:rtl w:val="true"/>
        </w:rPr>
        <w:t>שירות המבחן מוסיף כי כאשר הנאשם מצוי תחת השפעת אלכוהול</w:t>
      </w:r>
      <w:r>
        <w:rPr>
          <w:rtl w:val="true"/>
        </w:rPr>
        <w:t xml:space="preserve">, </w:t>
      </w:r>
      <w:r>
        <w:rPr>
          <w:rtl w:val="true"/>
        </w:rPr>
        <w:t>הוא מתקשה לשלוט בדחפיו ומטשטשים גבולותיו</w:t>
      </w:r>
      <w:r>
        <w:rPr>
          <w:rtl w:val="true"/>
        </w:rPr>
        <w:t xml:space="preserve">. </w:t>
      </w:r>
      <w:r>
        <w:rPr>
          <w:rtl w:val="true"/>
        </w:rPr>
        <w:t xml:space="preserve">שירות המבחן מוסיף ומציין כי </w:t>
      </w:r>
      <w:r>
        <w:rPr>
          <w:u w:val="single"/>
          <w:rtl w:val="true"/>
        </w:rPr>
        <w:t>נשקפת מן הנאשם רמת סיכון גבוהה להישנות התנהלות עוברת חוק בתחום האלימות</w:t>
      </w:r>
      <w:r>
        <w:rPr>
          <w:rtl w:val="true"/>
        </w:rPr>
        <w:t xml:space="preserve">, </w:t>
      </w:r>
      <w:r>
        <w:rPr>
          <w:rtl w:val="true"/>
        </w:rPr>
        <w:t>ובמקרה זה יש מקום להטיל עליו מאסר ארוך ומרתיע</w:t>
      </w:r>
      <w:r>
        <w:rPr>
          <w:rtl w:val="true"/>
        </w:rPr>
        <w:t xml:space="preserve">.  </w:t>
      </w:r>
      <w:r>
        <w:rPr>
          <w:rtl w:val="true"/>
        </w:rPr>
        <w:t>שילוב עברו פלילי של הנאשם יחד עם קיומם של גורמי סיכון רבים</w:t>
      </w:r>
      <w:r>
        <w:rPr>
          <w:rtl w:val="true"/>
        </w:rPr>
        <w:t xml:space="preserve">, </w:t>
      </w:r>
      <w:r>
        <w:rPr>
          <w:rtl w:val="true"/>
        </w:rPr>
        <w:t>שנותרים ללא מענה מצדיק מתן משקל לא מבוטל לשיקולי הרתעת היחיד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tl w:val="true"/>
        </w:rPr>
        <w:t>עוד יש לתת משקל לשיקולי הרתעת הרבים</w:t>
      </w:r>
      <w:r>
        <w:rPr>
          <w:rtl w:val="true"/>
        </w:rPr>
        <w:t xml:space="preserve">, </w:t>
      </w:r>
      <w:r>
        <w:rPr>
          <w:rtl w:val="true"/>
        </w:rPr>
        <w:t>נוכח נפוצות העבירות בהם הורשע הנאשם</w:t>
      </w:r>
      <w:r>
        <w:rPr>
          <w:rtl w:val="true"/>
        </w:rPr>
        <w:t xml:space="preserve">. </w:t>
      </w:r>
      <w:r>
        <w:rPr>
          <w:rtl w:val="true"/>
        </w:rPr>
        <w:t>אשר לעבירות הנשק</w:t>
      </w:r>
      <w:r>
        <w:rPr>
          <w:rtl w:val="true"/>
        </w:rPr>
        <w:t xml:space="preserve">, </w:t>
      </w:r>
      <w:r>
        <w:rPr>
          <w:rtl w:val="true"/>
        </w:rPr>
        <w:t>חדשות לבקרים מובאים לפתחו של בית המשפט אירועים פליליים במהלכם נעשה שימוש בנשק לא חוקי</w:t>
      </w:r>
      <w:r>
        <w:rPr>
          <w:rtl w:val="true"/>
        </w:rPr>
        <w:t xml:space="preserve">. </w:t>
      </w:r>
      <w:r>
        <w:rPr>
          <w:rtl w:val="true"/>
        </w:rPr>
        <w:t xml:space="preserve">כך הם פני הדברים ביחס לשוד </w:t>
      </w:r>
      <w:r>
        <w:rPr>
          <w:rtl w:val="true"/>
        </w:rPr>
        <w:t>"</w:t>
      </w:r>
      <w:r>
        <w:rPr>
          <w:rtl w:val="true"/>
        </w:rPr>
        <w:t>חנויות נוחות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פיצוציות</w:t>
      </w:r>
      <w:r>
        <w:rPr>
          <w:rtl w:val="true"/>
        </w:rPr>
        <w:t>" (</w:t>
      </w:r>
      <w:r>
        <w:rPr>
          <w:rtl w:val="true"/>
        </w:rPr>
        <w:t>כפי שאלה מכונות</w:t>
      </w:r>
      <w:r>
        <w:rPr>
          <w:rtl w:val="true"/>
        </w:rPr>
        <w:t xml:space="preserve">)  </w:t>
      </w:r>
      <w:r>
        <w:rPr>
          <w:rtl w:val="true"/>
        </w:rPr>
        <w:t>שהמוכרים בהם נתפסים כיעד קל לביצוע שוד נוכח הימצאותם במקום בכל שעות היממה</w:t>
      </w:r>
      <w:r>
        <w:rPr>
          <w:rtl w:val="true"/>
        </w:rPr>
        <w:t xml:space="preserve">, </w:t>
      </w:r>
      <w:r>
        <w:rPr>
          <w:rtl w:val="true"/>
        </w:rPr>
        <w:t>גם בשעות הלילה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5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4812/12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סעדייב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11.4.13</w:t>
      </w:r>
      <w:r>
        <w:rPr>
          <w:rtl w:val="true"/>
        </w:rPr>
        <w:t xml:space="preserve">) </w:t>
      </w:r>
      <w:r>
        <w:rPr>
          <w:rtl w:val="true"/>
        </w:rPr>
        <w:t xml:space="preserve">התייחס בית המשפט העליון לעבירות שוד המבוצעות כלפי </w:t>
      </w:r>
      <w:r>
        <w:rPr>
          <w:rtl w:val="true"/>
        </w:rPr>
        <w:t>"</w:t>
      </w:r>
      <w:r>
        <w:rPr>
          <w:rtl w:val="true"/>
        </w:rPr>
        <w:t>עובדי הלילה</w:t>
      </w:r>
      <w:r>
        <w:rPr>
          <w:rtl w:val="true"/>
        </w:rPr>
        <w:t>":</w:t>
      </w:r>
    </w:p>
    <w:p>
      <w:pPr>
        <w:pStyle w:val="Ruller41"/>
        <w:spacing w:lineRule="auto" w:line="240"/>
        <w:ind w:start="567" w:end="56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 xml:space="preserve">"... </w:t>
      </w:r>
      <w:r>
        <w:rPr>
          <w:b/>
          <w:b/>
          <w:bCs/>
          <w:sz w:val="24"/>
          <w:sz w:val="24"/>
          <w:szCs w:val="24"/>
          <w:rtl w:val="true"/>
        </w:rPr>
        <w:t>שכיחותם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מקרים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כגון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דא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מחייבת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היחלצותו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לעזרתם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עובדי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הלילה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עובדי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הקיוסקים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נמנים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שורה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ארוכה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עובדים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דוגמת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עובדי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תחנות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דלק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ומאבטחים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המעניקים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שירות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בשעות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הלילה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לאלה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הזקוקים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לו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המדובר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באנשים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עובדים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לפרנסתם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בעבודות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שמטבען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אינן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פשוטות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בעבודתם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חשופים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למפרי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מנצלים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אצטלת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הלילה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ורדת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החשכה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לביצוע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זממם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לרוב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עובדים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נמצאים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במקום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בגפם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ועוברי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האורח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המצויים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בסביבתם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מעטים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אחת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מותקפים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עובדי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הלילה</w:t>
      </w:r>
      <w:r>
        <w:rPr>
          <w:b/>
          <w:bCs/>
          <w:sz w:val="24"/>
          <w:szCs w:val="24"/>
          <w:rtl w:val="true"/>
        </w:rPr>
        <w:t xml:space="preserve">"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יחידים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קבוצות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שמו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להם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למטרה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להשיג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כסף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קל</w:t>
      </w:r>
      <w:r>
        <w:rPr>
          <w:b/>
          <w:bCs/>
          <w:sz w:val="24"/>
          <w:szCs w:val="24"/>
          <w:rtl w:val="true"/>
        </w:rPr>
        <w:t xml:space="preserve">" </w:t>
      </w:r>
      <w:r>
        <w:rPr>
          <w:b/>
          <w:b/>
          <w:bCs/>
          <w:sz w:val="24"/>
          <w:sz w:val="24"/>
          <w:szCs w:val="24"/>
          <w:rtl w:val="true"/>
        </w:rPr>
        <w:t>ביודעם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שהעובד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נמצא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לבדו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ולא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יתנגד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למתן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הכסף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כאשר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חייו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ושלמות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גופו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מונחים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הכף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4"/>
          <w:rtl w:val="true"/>
        </w:rPr>
        <w:t>מעבר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לנזק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הפיזי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שגורמים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התוקפים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לעובדים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הפגיעה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הנפשית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לנוכח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הטראומה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שעברו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ותחושת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חוסר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האונים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בה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מצויים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הינן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גבוהות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במיוחד</w:t>
      </w:r>
      <w:r>
        <w:rPr>
          <w:b/>
          <w:bCs/>
          <w:sz w:val="24"/>
          <w:szCs w:val="24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 בכל נסיבות אלה שאינן נוגעות לביצוע העבירה</w:t>
      </w:r>
      <w:r>
        <w:rPr>
          <w:rtl w:val="true"/>
        </w:rPr>
        <w:t xml:space="preserve">,  </w:t>
      </w:r>
      <w:r>
        <w:rPr>
          <w:rtl w:val="true"/>
        </w:rPr>
        <w:t>כדי למקם את עונשו של הנאשם בחלקו התחתון של השליש העליון של כל מתחם שנקבע</w:t>
      </w:r>
      <w:r>
        <w:rPr>
          <w:rtl w:val="true"/>
        </w:rPr>
        <w:t xml:space="preserve">, </w:t>
      </w:r>
      <w:r>
        <w:rPr>
          <w:rtl w:val="true"/>
        </w:rPr>
        <w:t>אם לא גבוה מכך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בהתאם להוראת </w:t>
      </w:r>
      <w:hyperlink r:id="rId56">
        <w:r>
          <w:rPr>
            <w:rStyle w:val="Hyperlink"/>
            <w:rtl w:val="true"/>
          </w:rPr>
          <w:t xml:space="preserve">סעיף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tl w:val="true"/>
          </w:rPr>
          <w:t xml:space="preserve">יג 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לאחר שביהמ</w:t>
      </w:r>
      <w:r>
        <w:rPr>
          <w:rtl w:val="true"/>
        </w:rPr>
        <w:t>"</w:t>
      </w:r>
      <w:r>
        <w:rPr>
          <w:rtl w:val="true"/>
        </w:rPr>
        <w:t>ש קבע מספר מתחמים לכל ארוע  בנפרד</w:t>
      </w:r>
      <w:r>
        <w:rPr>
          <w:rtl w:val="true"/>
        </w:rPr>
        <w:t xml:space="preserve">, </w:t>
      </w:r>
      <w:r>
        <w:rPr>
          <w:rtl w:val="true"/>
        </w:rPr>
        <w:t>הוא רשאי לגזור עונש נפרד לכל ארוע או עונש כולל לכל הארועים תוך קביעת החפיפה בין העונשים או הצטברותם</w:t>
      </w:r>
      <w:r>
        <w:rPr>
          <w:rtl w:val="true"/>
        </w:rPr>
        <w:t xml:space="preserve">. </w:t>
      </w:r>
      <w:r>
        <w:rPr>
          <w:rtl w:val="true"/>
        </w:rPr>
        <w:t>בעניינו של הנאשם שבפני סבורני שיש לקבוע עונש כולל</w:t>
      </w:r>
      <w:r>
        <w:rPr>
          <w:rtl w:val="true"/>
        </w:rPr>
        <w:t xml:space="preserve">, </w:t>
      </w:r>
      <w:r>
        <w:rPr>
          <w:rtl w:val="true"/>
        </w:rPr>
        <w:t>באופן שיתן ביטוי נוסף גם להודאתו</w:t>
      </w:r>
      <w:r>
        <w:rPr>
          <w:rtl w:val="true"/>
        </w:rPr>
        <w:t xml:space="preserve">, </w:t>
      </w:r>
      <w:r>
        <w:rPr>
          <w:rtl w:val="true"/>
        </w:rPr>
        <w:t>לעונש המאסר אותו הוא מרצה כעת וכך גם ליתר הנתונים שפועלים לזכותו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סוף דבר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מכל המקובץ לעיל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הנני גוזר על הנאשם את העונשים הבאים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מורה על הפעלת מאסר מותנה בן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 </w:t>
      </w:r>
      <w:r>
        <w:rPr>
          <w:rFonts w:cs="Arial" w:ascii="Arial" w:hAnsi="Arial"/>
        </w:rPr>
        <w:t>781/2009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שלום באר שבע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שהוארך במסגרת </w:t>
      </w:r>
      <w:hyperlink r:id="rId5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13918-08-13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 ש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ממנו יהיו במצטבר לעונש המאסר האמור בסעיף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לעיל והיתרה בחופף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סך הכל יהיה על הנאשם לרצות </w:t>
      </w: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מאסר בפועל בניכוי ימי מעצרו מיום </w:t>
      </w:r>
      <w:r>
        <w:rPr>
          <w:rFonts w:cs="Arial" w:ascii="Arial" w:hAnsi="Arial"/>
        </w:rPr>
        <w:t>14.8.17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ליום </w:t>
      </w:r>
      <w:r>
        <w:rPr>
          <w:rFonts w:cs="Arial" w:ascii="Arial" w:hAnsi="Arial"/>
        </w:rPr>
        <w:t>23.1.18</w:t>
      </w:r>
      <w:r>
        <w:rPr>
          <w:rFonts w:cs="Arial" w:ascii="Arial" w:hAnsi="Arial"/>
          <w:rtl w:val="true"/>
        </w:rPr>
        <w:t>.(</w:t>
      </w:r>
      <w:r>
        <w:rPr>
          <w:rFonts w:ascii="Arial" w:hAnsi="Arial" w:cs="Arial"/>
          <w:rtl w:val="true"/>
        </w:rPr>
        <w:t xml:space="preserve">המועד שבו הפך לאסיר במסגרת 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55434-08-16</w:t>
        </w:r>
      </w:hyperlink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יתרת המאסר לאחר ניכוי ימי המעצר תרוצה במצטבר בכל עונש מאסר אחר אותו הוא מרצה כעת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עבירות אלימות או נשק מסוג עוון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עבירת שוד או עבירת אלימות או עבירת נשק מסוג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3000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קנס או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חודשיים שווים ורציפים החל מיום </w:t>
      </w:r>
      <w:r>
        <w:rPr>
          <w:rFonts w:cs="Arial" w:ascii="Arial" w:hAnsi="Arial"/>
        </w:rPr>
        <w:t>1.6.19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 לבית המשפט העליון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מורה על חילוט הנשק או השמדתו בהתאם לשיקול דעת היחידה החוקרת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#4#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bookmarkStart w:id="13" w:name="Nitan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סיוון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05/06/2018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3"/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דניאל בן טולילה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Fonts w:eastAsia="David"/>
          <w:rtl w:val="true"/>
        </w:rPr>
        <w:t xml:space="preserve">   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אביטל</w:t>
      </w:r>
      <w:r>
        <w:rPr>
          <w:rtl w:val="true"/>
        </w:rPr>
        <w:t xml:space="preserve"> </w:t>
      </w:r>
      <w:r>
        <w:rPr>
          <w:rtl w:val="true"/>
        </w:rPr>
        <w:t>רטושני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דניאל בן טולילה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0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/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50556-08-17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פמ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ד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ליאור סולומון  </w:t>
    </w:r>
    <w:r>
      <w:rPr>
        <w:color w:val="000000"/>
        <w:sz w:val="22"/>
        <w:szCs w:val="22"/>
      </w:rPr>
      <w:t>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50556-08-17"/>
    <w:docVar w:name="caseId" w:val="74782271"/>
    <w:docVar w:name="deriveClass" w:val="NGCS.Protocol.BL.Client.ProtocolBLClientCriminal"/>
    <w:docVar w:name="firstPageNumber" w:val="12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1"/>
    <w:docVar w:name="protocolId" w:val="8702361"/>
    <w:docVar w:name="releaseSign" w:val="0"/>
    <w:docVar w:name="sittingDateTime" w:val="05/06/2018 15:00     "/>
    <w:docVar w:name="sittingId" w:val="84623301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LineNumber">
    <w:name w:val="line number"/>
    <w:rPr>
      <w:rFonts w:cs="Arial"/>
      <w:sz w:val="20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PlaceholderText">
    <w:name w:val="Placeholder Text"/>
    <w:qFormat/>
    <w:rPr>
      <w:rFonts w:cs="Times New Roman"/>
      <w:color w:val="808080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Ruller4">
    <w:name w:val="Ruller4 תו"/>
    <w:qFormat/>
    <w:rPr>
      <w:rFonts w:ascii="Arial TUR" w:hAnsi="Arial TUR" w:cs="Arial TUR"/>
      <w:spacing w:val="10"/>
      <w:sz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Arial TUR" w:hAnsi="Arial TUR" w:cs="Times New Roman"/>
      <w:spacing w:val="10"/>
      <w:sz w:val="28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402.a" TargetMode="External"/><Relationship Id="rId8" Type="http://schemas.openxmlformats.org/officeDocument/2006/relationships/hyperlink" Target="http://www.nevo.co.il/law/70301/402.b" TargetMode="External"/><Relationship Id="rId9" Type="http://schemas.openxmlformats.org/officeDocument/2006/relationships/hyperlink" Target="http://www.nevo.co.il/law/70301/40jc.b" TargetMode="External"/><Relationship Id="rId10" Type="http://schemas.openxmlformats.org/officeDocument/2006/relationships/hyperlink" Target="http://www.nevo.co.il/law/70301/hC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402.b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case/13093721" TargetMode="External"/><Relationship Id="rId17" Type="http://schemas.openxmlformats.org/officeDocument/2006/relationships/hyperlink" Target="http://www.nevo.co.il/case/20157961" TargetMode="External"/><Relationship Id="rId18" Type="http://schemas.openxmlformats.org/officeDocument/2006/relationships/hyperlink" Target="http://www.nevo.co.il/case/17023776" TargetMode="External"/><Relationship Id="rId19" Type="http://schemas.openxmlformats.org/officeDocument/2006/relationships/hyperlink" Target="http://www.nevo.co.il/case/17954235" TargetMode="External"/><Relationship Id="rId20" Type="http://schemas.openxmlformats.org/officeDocument/2006/relationships/hyperlink" Target="http://www.nevo.co.il/law/70301/40c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hC" TargetMode="External"/><Relationship Id="rId24" Type="http://schemas.openxmlformats.org/officeDocument/2006/relationships/hyperlink" Target="http://www.nevo.co.il/case/17929065" TargetMode="External"/><Relationship Id="rId25" Type="http://schemas.openxmlformats.org/officeDocument/2006/relationships/hyperlink" Target="http://www.nevo.co.il/case/5852404" TargetMode="External"/><Relationship Id="rId26" Type="http://schemas.openxmlformats.org/officeDocument/2006/relationships/hyperlink" Target="http://www.nevo.co.il/case/5821328" TargetMode="External"/><Relationship Id="rId27" Type="http://schemas.openxmlformats.org/officeDocument/2006/relationships/hyperlink" Target="http://www.nevo.co.il/case/22006503" TargetMode="External"/><Relationship Id="rId28" Type="http://schemas.openxmlformats.org/officeDocument/2006/relationships/hyperlink" Target="http://www.nevo.co.il/case/13090914" TargetMode="External"/><Relationship Id="rId29" Type="http://schemas.openxmlformats.org/officeDocument/2006/relationships/hyperlink" Target="http://www.nevo.co.il/case/7791493" TargetMode="External"/><Relationship Id="rId30" Type="http://schemas.openxmlformats.org/officeDocument/2006/relationships/hyperlink" Target="http://www.nevo.co.il/case/21475572" TargetMode="External"/><Relationship Id="rId31" Type="http://schemas.openxmlformats.org/officeDocument/2006/relationships/hyperlink" Target="http://www.nevo.co.il/case/6078308" TargetMode="External"/><Relationship Id="rId32" Type="http://schemas.openxmlformats.org/officeDocument/2006/relationships/hyperlink" Target="http://www.nevo.co.il/case/6024035" TargetMode="External"/><Relationship Id="rId33" Type="http://schemas.openxmlformats.org/officeDocument/2006/relationships/hyperlink" Target="http://www.nevo.co.il/case/21474168" TargetMode="External"/><Relationship Id="rId34" Type="http://schemas.openxmlformats.org/officeDocument/2006/relationships/hyperlink" Target="http://www.nevo.co.il/case/6058757" TargetMode="External"/><Relationship Id="rId35" Type="http://schemas.openxmlformats.org/officeDocument/2006/relationships/hyperlink" Target="http://www.nevo.co.il/case/5958231" TargetMode="External"/><Relationship Id="rId36" Type="http://schemas.openxmlformats.org/officeDocument/2006/relationships/hyperlink" Target="http://www.nevo.co.il/case/23129098" TargetMode="External"/><Relationship Id="rId37" Type="http://schemas.openxmlformats.org/officeDocument/2006/relationships/hyperlink" Target="http://www.nevo.co.il/case/22696250" TargetMode="External"/><Relationship Id="rId38" Type="http://schemas.openxmlformats.org/officeDocument/2006/relationships/hyperlink" Target="http://www.nevo.co.il/case/22607175" TargetMode="External"/><Relationship Id="rId39" Type="http://schemas.openxmlformats.org/officeDocument/2006/relationships/hyperlink" Target="http://www.nevo.co.il/case/22112345" TargetMode="External"/><Relationship Id="rId40" Type="http://schemas.openxmlformats.org/officeDocument/2006/relationships/hyperlink" Target="http://www.nevo.co.il/case/5906249" TargetMode="External"/><Relationship Id="rId41" Type="http://schemas.openxmlformats.org/officeDocument/2006/relationships/hyperlink" Target="http://www.nevo.co.il/case/16987351" TargetMode="External"/><Relationship Id="rId42" Type="http://schemas.openxmlformats.org/officeDocument/2006/relationships/hyperlink" Target="http://www.nevo.co.il/law/70301/402.a" TargetMode="External"/><Relationship Id="rId43" Type="http://schemas.openxmlformats.org/officeDocument/2006/relationships/hyperlink" Target="http://www.nevo.co.il/case/21473119" TargetMode="External"/><Relationship Id="rId44" Type="http://schemas.openxmlformats.org/officeDocument/2006/relationships/hyperlink" Target="http://www.nevo.co.il/case/16935047" TargetMode="External"/><Relationship Id="rId45" Type="http://schemas.openxmlformats.org/officeDocument/2006/relationships/hyperlink" Target="http://www.nevo.co.il/case/10502090" TargetMode="External"/><Relationship Id="rId46" Type="http://schemas.openxmlformats.org/officeDocument/2006/relationships/hyperlink" Target="http://www.nevo.co.il/case/21472762" TargetMode="External"/><Relationship Id="rId47" Type="http://schemas.openxmlformats.org/officeDocument/2006/relationships/hyperlink" Target="http://www.nevo.co.il/case/6247854" TargetMode="External"/><Relationship Id="rId48" Type="http://schemas.openxmlformats.org/officeDocument/2006/relationships/hyperlink" Target="http://www.nevo.co.il/case/21478552" TargetMode="External"/><Relationship Id="rId49" Type="http://schemas.openxmlformats.org/officeDocument/2006/relationships/hyperlink" Target="http://www.nevo.co.il/case/17934709" TargetMode="External"/><Relationship Id="rId50" Type="http://schemas.openxmlformats.org/officeDocument/2006/relationships/hyperlink" Target="http://www.nevo.co.il/case/5578150" TargetMode="External"/><Relationship Id="rId51" Type="http://schemas.openxmlformats.org/officeDocument/2006/relationships/hyperlink" Target="http://www.nevo.co.il/case/3826347" TargetMode="External"/><Relationship Id="rId52" Type="http://schemas.openxmlformats.org/officeDocument/2006/relationships/hyperlink" Target="http://www.nevo.co.il/case/18053327" TargetMode="External"/><Relationship Id="rId53" Type="http://schemas.openxmlformats.org/officeDocument/2006/relationships/hyperlink" Target="http://www.nevo.co.il/case/7935646" TargetMode="External"/><Relationship Id="rId54" Type="http://schemas.openxmlformats.org/officeDocument/2006/relationships/hyperlink" Target="http://www.nevo.co.il/case/21572055" TargetMode="External"/><Relationship Id="rId55" Type="http://schemas.openxmlformats.org/officeDocument/2006/relationships/hyperlink" Target="http://www.nevo.co.il/case/5588062" TargetMode="External"/><Relationship Id="rId56" Type="http://schemas.openxmlformats.org/officeDocument/2006/relationships/hyperlink" Target="http://www.nevo.co.il/law/70301/40jc.b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7935646" TargetMode="External"/><Relationship Id="rId59" Type="http://schemas.openxmlformats.org/officeDocument/2006/relationships/hyperlink" Target="http://www.nevo.co.il/case/21572055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2019-09-19T11:05:00Z</dcterms:created>
  <dc:creator> </dc:creator>
  <dc:description/>
  <cp:keywords/>
  <dc:language>en-IL</dc:language>
  <cp:lastModifiedBy>hofit</cp:lastModifiedBy>
  <cp:lastPrinted>2018-06-06T10:12:00Z</cp:lastPrinted>
  <dcterms:modified xsi:type="dcterms:W3CDTF">2019-09-19T11:05:00Z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ישראל- פמ#ד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ליאור סולומון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ProcID=30&amp;PartA=625&amp;PartC=82</vt:lpwstr>
  </property>
  <property fmtid="{D5CDD505-2E9C-101B-9397-08002B2CF9AE}" pid="9" name="CASENOTES2">
    <vt:lpwstr>ProcID=133;209&amp;PartA=1332&amp;PartC=04</vt:lpwstr>
  </property>
  <property fmtid="{D5CDD505-2E9C-101B-9397-08002B2CF9AE}" pid="10" name="CASESLISTTMP1">
    <vt:lpwstr>13093721;20157961;17023776;17954235;17929065;5852404;5821328;22006503;13090914;7791493;21475572;6078308;6024035;21474168;6058757;5958231;23129098;22696250;22607175;22112345;5906249;16987351;21473119;16935047;10502090;21472762;6247854;21478552;17934709</vt:lpwstr>
  </property>
  <property fmtid="{D5CDD505-2E9C-101B-9397-08002B2CF9AE}" pid="11" name="CASESLISTTMP2">
    <vt:lpwstr>5578150;3826347;18053327;7935646:2;21572055:2;5588062</vt:lpwstr>
  </property>
  <property fmtid="{D5CDD505-2E9C-101B-9397-08002B2CF9AE}" pid="12" name="CITY">
    <vt:lpwstr>ב"ש</vt:lpwstr>
  </property>
  <property fmtid="{D5CDD505-2E9C-101B-9397-08002B2CF9AE}" pid="13" name="DATE">
    <vt:lpwstr>20180605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דניאל בן טולילה</vt:lpwstr>
  </property>
  <property fmtid="{D5CDD505-2E9C-101B-9397-08002B2CF9AE}" pid="17" name="LAWLISTTMP1">
    <vt:lpwstr>70301/144.a;144.b;402.b;025;040c.a;hC;402.a;40jc.b</vt:lpwstr>
  </property>
  <property fmtid="{D5CDD505-2E9C-101B-9397-08002B2CF9AE}" pid="18" name="LAWYER">
    <vt:lpwstr>ניר פוגל;גינת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50556</vt:lpwstr>
  </property>
  <property fmtid="{D5CDD505-2E9C-101B-9397-08002B2CF9AE}" pid="25" name="NEWPARTB">
    <vt:lpwstr>08</vt:lpwstr>
  </property>
  <property fmtid="{D5CDD505-2E9C-101B-9397-08002B2CF9AE}" pid="26" name="NEWPARTC">
    <vt:lpwstr>17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390020180605</vt:lpwstr>
  </property>
  <property fmtid="{D5CDD505-2E9C-101B-9397-08002B2CF9AE}" pid="37" name="TYPE_N_DATE">
    <vt:lpwstr>39020180605</vt:lpwstr>
  </property>
  <property fmtid="{D5CDD505-2E9C-101B-9397-08002B2CF9AE}" pid="38" name="VOLUME">
    <vt:lpwstr/>
  </property>
  <property fmtid="{D5CDD505-2E9C-101B-9397-08002B2CF9AE}" pid="39" name="WORDNUMPAGES">
    <vt:lpwstr>13</vt:lpwstr>
  </property>
</Properties>
</file>