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בקריית שמונה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50630-11-16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מרום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הגליל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והגולן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ניסנבוים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רות שפילברג כהן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שלוחת תביעות מרום הגליל והגולן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עקיבא אריה ניסנבוים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71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bookmarkStart w:id="7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החלטה </w:t>
            </w:r>
            <w:bookmarkEnd w:id="7"/>
            <w:r>
              <w:rPr>
                <w:rFonts w:cs="Arial" w:ascii="Arial" w:hAnsi="Arial"/>
                <w:b/>
                <w:bCs/>
                <w:sz w:val="32"/>
                <w:szCs w:val="32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גזר דין ללא הרשעה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כתב אישום ורקע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8" w:name="ABSTRACT_START"/>
      <w:bookmarkEnd w:id="8"/>
      <w:r>
        <w:rPr>
          <w:rFonts w:ascii="Calibri" w:hAnsi="Calibri" w:cs="Calibri"/>
          <w:rtl w:val="true"/>
        </w:rPr>
        <w:t>הנאשם הודה והורשע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 הסדר 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בכתב אישום מתוקן שייחס לו עבירת </w:t>
      </w:r>
      <w:r>
        <w:rPr>
          <w:rFonts w:ascii="Calibri" w:hAnsi="Calibri" w:cs="Calibri"/>
          <w:b/>
          <w:b/>
          <w:bCs/>
          <w:rtl w:val="true"/>
        </w:rPr>
        <w:t>החזקת חלק של נשק או תחמושת</w:t>
      </w:r>
      <w:r>
        <w:rPr>
          <w:rFonts w:ascii="Calibri" w:hAnsi="Calibri" w:cs="Calibri"/>
          <w:rtl w:val="true"/>
        </w:rPr>
        <w:t xml:space="preserve"> – לפי </w:t>
      </w:r>
      <w:hyperlink r:id="rId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סיפא ל</w:t>
      </w:r>
      <w:hyperlink r:id="rId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מדובר  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מחסניות רובה וכדורי רובה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מספרם לא הופיע בכתב האישום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בקוטר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מ אשר נמצאו במהלך חיפוש שנערך בביתו של הנאשם ביום </w:t>
      </w:r>
      <w:r>
        <w:rPr>
          <w:rFonts w:cs="Calibri" w:ascii="Calibri" w:hAnsi="Calibri"/>
        </w:rPr>
        <w:t>14/3/16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סמוך לשעה </w:t>
      </w:r>
      <w:r>
        <w:rPr>
          <w:rFonts w:cs="Calibri" w:ascii="Calibri" w:hAnsi="Calibri"/>
        </w:rPr>
        <w:t>9:49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צויינה בכתב האישום טענתו של הנאשם כי מצא את התחמושת במסגרת עבודתו והחזיק בה למטרות נוי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23/5/17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 הצדדים להסדר 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 כתב האישום 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 הודה והורשע והופנה לקבלת תסקיר שרות המבחן שיבחן גם את שאלת ביטול הרשעתו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המאשימה הצהירה כי תשקול את עמדתה לאחר התסקיר ללא התחייבות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תסקיר שרות המבחן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  <w:bookmarkStart w:id="11" w:name="LastJudge"/>
      <w:bookmarkStart w:id="12" w:name="LastJudge"/>
      <w:bookmarkEnd w:id="12"/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על פי התסקיר מיום </w:t>
      </w:r>
      <w:r>
        <w:rPr>
          <w:rFonts w:cs="Calibri" w:ascii="Calibri" w:hAnsi="Calibri"/>
        </w:rPr>
        <w:t>17/10/17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הנאשם בן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 ואב לשתי בנות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בעל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השכלה שרכש בישיבה בניו יורק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הנאשם עלה ארצה בגיל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וקיבל פטור משרות 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במשך השנים עבד בשיפוצים ומזה מספר חודשים עובד כמנהל פרויקט בחברה העוסקת בתחום הקנאביס הרפואי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כשלדבריו חברו הוא היזם להקמת האתר והנאשם אחראי בפועל על הקמתו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מסר כי הרשעה בפלילים תפגע ביכולתו להמשיך ולעבוד בתחום עיסוקו הנוכחי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שרות המבחן ציין כי הנאשם נעדר עבר 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בהתייחסו לעבירה – הנאשם מסר כי אכן החזיק במחסניות ובכדורים שמצא מספר שנים קודם 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 עבודתו בשיפוצים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וטען כי לא היה מודע לאיסור בדבר החזקת 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כשכל רצונו היה לקשט את ביתו באמצעותם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הביע צער וחרטה על ביצוע 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מתוך אבחון שנערך לנאשם עלה כי הינו אדם מתפקד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שביצוע העבירה אינו מאפיין את התנהלותו ואת חייו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לא הביע נזקקות טיפולית ושרות המבחן לא בא בהמלצה על העמדתו בצו 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שרות המבחן סבר כי צו 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 יהווה עבור הנאשם עונש חינוכי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וכי יש בעונש זה כדי להקטין את הסיכון להישנות ביצוע 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והמליץ להטיל עליו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 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לעניין ההרשעה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שרות המבחן המליץ לבטל את הרשעתו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מאחר וזו העבירה הראשונה והיחידה בה הסתבך הנאשם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ועל מנת להימנע מפגיעה בפרנסתו ובאפשרויות קידומו האישי והמקצועי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ראיות מטעם המאשימה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הוגשה אסופת פסיקה והנחיות פרקליט המדינה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ראיות מטעם הנאשם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מטעם הנאשם העיד מר חיים טנאן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העד הסביר כי הוא מקים חברה לייצור קנביס רפואי לצריכה בישראל ולייצוא לחו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לעד הוצגו מסמכים והוא אישר כי מדובר במסמך להקמת תאגיד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מסמך המתעד הקמת תאגיד ומימון תאגיד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אישור פתיחת חברה ממשרד המשפטים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אישורים לגידול קנביס רפואי בישראל וכן אישור על תשלום שכר טרחה על סך </w:t>
      </w:r>
      <w:r>
        <w:rPr>
          <w:rFonts w:cs="Calibri" w:ascii="Calibri" w:hAnsi="Calibri"/>
        </w:rPr>
        <w:t>50,000</w:t>
      </w:r>
      <w:r>
        <w:rPr>
          <w:rFonts w:cs="Calibri" w:ascii="Calibri" w:hAnsi="Calibri"/>
          <w:rtl w:val="true"/>
        </w:rPr>
        <w:t xml:space="preserve"> ₪ </w:t>
      </w:r>
      <w:r>
        <w:rPr>
          <w:rFonts w:ascii="Calibri" w:hAnsi="Calibri" w:cs="Calibri"/>
          <w:rtl w:val="true"/>
        </w:rPr>
        <w:t>עבור טיפול בתהליך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העד מסר כי הנאשם נמצא מזה שלושה חודשים בתוכנית מתמחים ועובר הכשרה לעניין הטיפול בקנביס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העד הסביר כי במידה והנאשם יורשע ייאלצו הוא ושותפיו לפטר אותו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ולשאלת בית המשפט אם דווקא הרשעה או אי הרשעה הם שיכריעו את עניין העסקתו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שעה שידוע כי הנאשם ביצע את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השיב כי אינו יודע וכי יפעל לפי הנחיות משרד הבריאות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 השיב העד לשאלת בית המשפט כי עד כה טרם גודלו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 הפרוייקט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שתילי קנביס וכי המיזם מצוי  בשלבי אישור והכנת המתקנים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העד הביע תקווה שמשרד הבריאות יוכל לקבוע כי לא מדובר בעבריין וכך הוא ושותפיו יוכלו להמשיך ולהעסיק את 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לשאלת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האם יש תפקידים בהם אפשר להעסיק בעסק של קנביס רפואי גם בעלי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ענה העד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ככל הידוע לו הדבר בלתי אפשרי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העד הסביר כי השלב הנוכחי בו מצוי הפרוייקט הנו שלב בו לא מועסקים עדיין עובדים ולא משולמות משכורות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הנאשם הוא כעת מתמחה ותשולם לו משכורת רטרואקטיבית 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נמסר כשיסיים הנאשם את ההתמחות שלו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יועסק בחברה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העד מסר כי הנאשם מתאים בשל נתוניו להחזיק בתפקיד מרכזי בפרוייקט לכשייצא לדרך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הגיש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אסופת פסיקה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19/10/17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טענו הצדדים לעונש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טיעוני ב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 המאשימה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עתר להטיל עונש של 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 והתחייבות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טען כי העבירה מאופיינת בחומרה יתרה בשל פוטנציאל הנזק הטמון בה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על אף שכתב האישום תוקן בכך שהוספה טענתו של הנאשם להיעדר כוונה פלילית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עדיין מדובר בפריט מסוכן שאינו יכול להוות קישוט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צויין כי הנאשם לא שירת שירות צבאי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ולפיכך אין לו  כל הבנה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ונטען כי בכך יש חומרה יתרה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המאשימה טען כי מתחם העונש אותו הנחה פרקליט המדינה בהנחיותיו הוא בין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לריצוי בדרך של עבודות שרות ועד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ומאחר ומדובר בנאשם נעדר עבר פלילי וקיימים טעמים לקולא המפורטים בתסקיר אזי ניתן לסטות ממתחם העונש לקולא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 לא כפי בקשת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והמלצת התסקיר – ביטול הרשעה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לעניין שאלת ההרשעה – ציין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כי המסמכים שהגיש לו 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אינם ברורים ומופיעה בהם שמה של חברה אחרת מזו שנטען לגביה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טען כי מדובר בספקולציות לגבי נזק שייגרם 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וביקש להרשיעו על פי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הלכת כתב 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הן לגבי סוג העבירה וחומרתה והן לעניין היעדר הפגיעה בנאשם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u w:val="single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u w:val="single"/>
          <w:rtl w:val="true"/>
        </w:rPr>
        <w:t>טיעוני ב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 הנאשם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טען כי הנאשם מצא את התחמושת במהלך עבודתו בשיפוצים וביקש לקחת אותה מבלי שהבין כי מדובר בעבירה פלילית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כשרצונו להכין ממנה אביזר נוי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הסביר כי המאשימה לא טענה כי מדובר בתחמושת שהוחזקה למטרות פליליות וכי מדובר בנאשם נעדר עבר פלילי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טען כי מדובר ברף נמוך של חומרת העבירה בה הודה 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טעונים נרחבים הוקדשו לנזק קונקרטי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ייגרם בשל ההרשעה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בעטיו יהיה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פי הטענה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מנוע מלעבוד במיזם הקנאביס הרפואי המעוניין להעסיקו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ביקש לאמץ את המלצת שרות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לבטל את הרשעתו של הנאשם ולהטיל עליו צו 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  <w:rtl w:val="true"/>
        </w:rPr>
        <w:t>דברי הנאשם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אמר כי הוא עשה טעות והצטער על 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ביקש להשתמש בקליעים שמצא לקישוט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לא ידע שמדובר בדבר אסור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טען לגבי הזדמנות העבודה שעומדת בפניו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תסוכל בשל הטעות שעשה אם יורשע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שאלת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ההרשעה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הכלל בהליך הפלילי הוא כי נאשם בגיר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שהוכחה אשמתו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יורשע בדין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הימנעות מהרשעה הינה חריג לכלל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שהנו מוצדק רק במקרים נדירים וחריגים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 אין יחס סביר בין הנזק הצפוי לנאשם מן ההרשעה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יש לקבוע כי הוא ממשי וחריף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 היעדר חומרתה של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שניתן להימנע מהרשעת מבצעה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 שהדבר יפגע באינטרס הציבורי ובערך המוגן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850" w:end="85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הכלל המנחה לגבי הימנעות מהרשעה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 ב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2083/96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תמר כתב נגד מדינת ישראל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21.08.97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 נקבע כי הימנעות מהרשעה תהיה מוצדקת רק בהתקיים שני תנאים מצטברים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85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ראשית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על ההרשעה לפגוע פגיעה חמורה בשיקום הנאשם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ושנית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סוג העבירה מאפשר לוותר בנסיבות המקרה המסוים על ההרשעה בלי לפגוע באופן מהותי בשיקולי הענישה</w:t>
      </w:r>
      <w:r>
        <w:rPr>
          <w:rFonts w:cs="Calibri" w:ascii="Calibri" w:hAnsi="Calibri"/>
          <w:b/>
          <w:bCs/>
          <w:rtl w:val="true"/>
        </w:rPr>
        <w:t xml:space="preserve">.." 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2513/96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נגד ויקטור שמש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02.09.96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נקבע כי ניתן להסתפק במבחן בלי 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רק במקרים מיוחדים ויוצאי דופן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הימנעות מהרשעה על ידי בית המשפט כאשר אין לכך צידוק ממשי מפרה את הכלל בדבר הרשעה ובכך פוגעים גם בעקרון השוויון בפני החוק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לאור האמור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 לומר כי השאלה אם ניתן להימנע מהרשעת נאשם נענית תוך איזון הדדי בין שני שיקולים שמשקלם משפיע זה על זה – ככל שהעבירה חמורה 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נסיבותיה קשות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ופגיעתה בערכים ובמוסכמות החברתיות גבוהה 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אזי הימנעות מהרשעה של מבצעה תהיה פחות סבירה ומוצדקת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ותתאפשר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 בכלל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רק מקום בו תוכח פגיעה ניכרת וקשה בעתידו של הנאשם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תיקון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קבע שורת פרמטרים לבחינת חומרתה של 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 הנזק שנגרם מביצוע העבירה או הנזק שיכול היה להיגרם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היקף התכנון ורמת התחכום שבביצועה ועוד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בענייננו מדובר בעבירת נשק שאיננה מהחמורות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שהנה מסוג עוון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ואשר העונש המקסימלי לצדה הנו שלוש שנות 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ככלל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 נשק טומנות בחובן סיכון ממשי לפגיעה בחיי אדם כשמטרת האיסור הפלילי הוא הגנה על שלום הציבור ובטחונו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טיבו של נשק הנו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אין ערובה לגבי הידיים אליו יגיע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שמא חלילה ישמש לביצוע עבירות נגד בטחון 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עבירות פליליות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ולמצער ייעשה בו שימוש רשלני ומסוכן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בהליך אומדן חומרתה של עבירת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 לתת את הדעת לסוג הנשק או התחמושת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כמותו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המטרה שלשמה הוחזק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למידת מוחשיות הסכנה הקיימת שמא ייעשה באותו נשק שימוש שלילי או פלילי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בענייננו מדובר בשלוש מחסניות ובכמות בלתי מוגדרת של כדורי רובה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טענתו של הנאשם לפיה מצא את הפריטים ושמרם לנוי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נרשמה כלשונה בכתב האישום במסגרת תיקונו בהסדר הטיעון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 בצעד חריג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 נכללת טענה בכתב 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אמור להציג עובדות 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אף על פי שלא נטען עובדתית כי הנאשם מצא את הפריטים ושמר בהם לנוי 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 העניין נכלל כטענה בלבד – החלטתי לתת לטענה זו משקל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בסיסי הסכמתה של המאשימה לתקן את כתב האישום בדרך זו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 לא שירת אמנם בצה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ועלה לישראל מארה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 בגיל מבוגר יחסית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במציאות הישראלית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שבה תחמושת מהסוג כמו זה הנדון 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נמצאת בבתים רבים של משרתי כוחות הבטחון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 להניח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לטובת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קיים תסריט לא חמור ולא פלילי מובהק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לאופן בו תחמושת מסוג כזה הגיעה לידיו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מדובר איפוא בעבירה שאיננה מאופיינת בחומרה יתרה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פוטנציאל הנזק שעלול היה להיגרם מאותן שתי מחסניות וכדורים איננו מובהק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בעיקר בשל היעדרו של נשק שעלול היה לירות את אותם קליעים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והיעדרן של נסיבות חמורות אחרות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מבלי להפחית בחומרתן של עבירות הנשק באופן כללי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נראה כי במקרה זה החומרה פחותה יחסית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אשר על כן – בנסיבות הנכונות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 כי ניתן יהיה לבטל את הרשעתו של הנאשם וכי הדבר לא יפגע באופן בלתי הולם באינטרס הציבורי ובערכים המוגנים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בבואו של בית המשפט לבחון את הנזק העלול להיגרם 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הנאשם להתייחס לנזק מוחשי קונקרטי ולא לאפשרויות תיאורטיות לפיהן יגרם לנאשם נזק בעתיד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 לעניין זה את הדברים שנאמרו ב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9118/12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אלכסנדר פריגין נגד מדינת ישראל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cs="Calibri" w:ascii="Calibri" w:hAnsi="Calibri"/>
          <w:b/>
          <w:bCs/>
        </w:rPr>
        <w:t>03.01.13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1440" w:end="85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spacing w:val="10"/>
          <w:rtl w:val="true"/>
        </w:rPr>
        <w:t>"</w:t>
      </w:r>
      <w:r>
        <w:rPr>
          <w:rFonts w:ascii="Calibri" w:hAnsi="Calibri" w:cs="Calibri"/>
          <w:b/>
          <w:b/>
          <w:bCs/>
          <w:spacing w:val="10"/>
          <w:rtl w:val="true"/>
        </w:rPr>
        <w:t>לא מצאתי כל פגם בעמדתו של בית המשפט המחוזי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לפיה יש להתייחס לנזק המוחשי</w:t>
      </w:r>
      <w:r>
        <w:rPr>
          <w:rFonts w:cs="Calibri" w:ascii="Calibri" w:hAnsi="Calibri"/>
          <w:b/>
          <w:bCs/>
          <w:spacing w:val="10"/>
          <w:rtl w:val="true"/>
        </w:rPr>
        <w:t>-</w:t>
      </w:r>
      <w:r>
        <w:rPr>
          <w:rFonts w:ascii="Calibri" w:hAnsi="Calibri" w:cs="Calibri"/>
          <w:b/>
          <w:b/>
          <w:bCs/>
          <w:spacing w:val="10"/>
          <w:rtl w:val="true"/>
        </w:rPr>
        <w:t>קונקרטי העלול להיגרם למבקש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ואין להידרש לאפשרויות תיאורטיות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לפיהן עלול להיגרם לו נזק כלשהו בעתיד</w:t>
      </w:r>
      <w:r>
        <w:rPr>
          <w:rFonts w:cs="Calibri" w:ascii="Calibri" w:hAnsi="Calibri"/>
          <w:b/>
          <w:bCs/>
          <w:spacing w:val="10"/>
          <w:rtl w:val="true"/>
        </w:rPr>
        <w:t xml:space="preserve">. </w:t>
      </w:r>
      <w:r>
        <w:rPr>
          <w:rFonts w:ascii="Calibri" w:hAnsi="Calibri" w:cs="Calibri"/>
          <w:b/>
          <w:b/>
          <w:bCs/>
          <w:spacing w:val="10"/>
          <w:rtl w:val="true"/>
        </w:rPr>
        <w:t>קבלת גישתו זו של המבקש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תחייב את בית המשפט להידרש לתרחישים תיאורטיים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שאין לדעת אם יתממשו בעתיד</w:t>
      </w:r>
      <w:r>
        <w:rPr>
          <w:rFonts w:cs="Calibri" w:ascii="Calibri" w:hAnsi="Calibri"/>
          <w:b/>
          <w:bCs/>
          <w:spacing w:val="10"/>
          <w:rtl w:val="true"/>
        </w:rPr>
        <w:t xml:space="preserve">, </w:t>
      </w:r>
      <w:r>
        <w:rPr>
          <w:rFonts w:ascii="Calibri" w:hAnsi="Calibri" w:cs="Calibri"/>
          <w:b/>
          <w:b/>
          <w:bCs/>
          <w:spacing w:val="10"/>
          <w:rtl w:val="true"/>
        </w:rPr>
        <w:t>ולא ברור כלל עד כמה תהיה להרשעה בדין השפעה על התכנותם של אותם תרחישים</w:t>
      </w:r>
      <w:r>
        <w:rPr>
          <w:rFonts w:cs="Calibri" w:ascii="Calibri" w:hAnsi="Calibri"/>
          <w:b/>
          <w:bCs/>
          <w:spacing w:val="10"/>
          <w:rtl w:val="true"/>
        </w:rPr>
        <w:t>.".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 ששמעתי את עדותו של עד ההגנה מר טנאן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עיינתי במסמכים שהוצגו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והתרשמתי מעמדת הנאשם ומהמלצת שרות 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השתכנעתי כי מדובר בפרוייקט  גדול ורציני בתחום הקנאביס הרפואי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סיכוייו להתממש גבוהים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ואשר מעוניין ברצינות להעסיק את הנאשם בשורותיו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שוכנעתי כי קיים סיכוי ממשי שמא הרשעה בפלילים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לעומת הימנעות מהרשעה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עלולה לסכל את העסקתו של 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מדובר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בתחום חדש יחסית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העובר תמורות יום יומיות משמעותיות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במסגרתו מקבל ענף גידול הקנאביס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בעיקר לצרכי רפואה 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לגיטימציה חוקית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בענף חדש זה פוטנציאל כלכלי עצום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שלגביו העיד מר טנאן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 אמין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יצויין כי לא מצאתי דופי במסמכים שהוגשו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וקבלתי את הסברו של העד גבי ציון שמו של אדם אחר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שהנו בעלי החלקה המיועדת למיזם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ולא שמו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המסמך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הגיש את חוזר המשנה למנהל הכללי של משרד הבריאות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בסעיף </w:t>
      </w:r>
      <w:r>
        <w:rPr>
          <w:rFonts w:cs="Calibri" w:ascii="Calibri" w:hAnsi="Calibri"/>
        </w:rPr>
        <w:t>4.4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שכותרתו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העוסקים בקנביס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כי על כל עובד או פועל בחווה לגידול קנביס שבא במגע ישיר עם הקנביס או יכול לבוא במגע כזה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לקבל </w:t>
      </w:r>
      <w:r>
        <w:rPr>
          <w:rFonts w:ascii="Calibri" w:hAnsi="Calibri" w:cs="Calibri"/>
          <w:b/>
          <w:b/>
          <w:bCs/>
          <w:rtl w:val="true"/>
        </w:rPr>
        <w:t>רישיון פרטני מהיחידה לקנביס רפואי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צויין כי היחידה תהיה רשאית לבחון לגבי כל מבקש רישיון קיומו של מידע הפוסל את האפשרות למתן הרישיון ובכלל זה מידע על הרשעות קודמות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שוכנעתי כי צפויה בענף הקנאביס הרפואי רגולציה קפדנית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 הרשעה בפלילים עלולה לסכל תעסוקה בענף זה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אף על פי שלא ניתן לקבוע כעת כי הנאשם יוכל אכן לעבוד בענף הקנאביס על אף רישום ללא הרשעה שייזקף לחובתו – מצאתי כי לנוכח חומרתה המתונה יחסית של 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 להסתפק במידת ההוכחה שבה עמד הנאשם לגבי נזק קונקרטי מהרשעה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הנאשם בן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נעדר עבר 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 במיוחס לו וחסך מזמנו של בית 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לקח אחריות על מעשיו והביע צער וחרטה על 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השאלה אם יועסק הנאשם בסופו של דבר או לא במיזם הקנאביס הרפואי ניתנת לרשויות המוסמכות  בתחום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ואולם בשלב זה היה די במידע שהוצג בפני כדי לשכנע  לבטל את הרשעתו של 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b/>
          <w:b/>
          <w:bCs/>
          <w:rtl w:val="true"/>
        </w:rPr>
        <w:t>לאור כל האמור לעיל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אני מבטלת את הרשעתו של הנאשם וקובעת לגביו את העונשים 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צו 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צ בהיקף של </w:t>
      </w:r>
      <w:r>
        <w:rPr>
          <w:rFonts w:cs="Calibri" w:ascii="Calibri" w:hAnsi="Calibri"/>
        </w:rPr>
        <w:t>100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עבודות השל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 יבוצעו במתנ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 צפת בעזרה לאב הבית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20"/>
        <w:ind w:firstLine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20"/>
        <w:ind w:start="1440" w:end="0"/>
        <w:jc w:val="both"/>
        <w:rPr>
          <w:rFonts w:ascii="David" w:hAnsi="David" w:cs="David"/>
        </w:rPr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tl w:val="true"/>
        </w:rPr>
        <w:t xml:space="preserve">, </w:t>
      </w:r>
      <w:r>
        <w:rPr>
          <w:rtl w:val="true"/>
        </w:rPr>
        <w:t>ומזהירו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tl w:val="true"/>
        </w:rPr>
        <w:t xml:space="preserve">,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הנאשם יחתום על התחייבות על סך </w:t>
      </w:r>
      <w:r>
        <w:rPr>
          <w:rFonts w:cs="Calibri" w:ascii="Calibri" w:hAnsi="Calibri"/>
        </w:rPr>
        <w:t>2,000</w:t>
      </w:r>
      <w:r>
        <w:rPr>
          <w:rFonts w:cs="Calibri" w:ascii="Calibri" w:hAnsi="Calibri"/>
          <w:rtl w:val="true"/>
        </w:rPr>
        <w:t xml:space="preserve"> ₪, </w:t>
      </w:r>
      <w:r>
        <w:rPr>
          <w:rFonts w:ascii="Calibri" w:hAnsi="Calibri" w:cs="Calibri"/>
          <w:rtl w:val="true"/>
        </w:rPr>
        <w:t xml:space="preserve">להימנע במשך תקופה של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מהיום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מלעבור את העבירה בה הורשע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במידה ולא יחתום כאמור תוך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ייאסר ליומיים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u w:val="single"/>
          <w:rtl w:val="true"/>
        </w:rPr>
        <w:t xml:space="preserve">מוצגים סמים ותחמושת – להשמדה </w:t>
      </w:r>
      <w:r>
        <w:rPr>
          <w:rFonts w:cs="Calibri" w:ascii="Calibri" w:hAnsi="Calibri"/>
          <w:u w:val="single"/>
          <w:rtl w:val="true"/>
        </w:rPr>
        <w:t>(</w:t>
      </w:r>
      <w:r>
        <w:rPr>
          <w:rFonts w:ascii="Calibri" w:hAnsi="Calibri" w:cs="Calibri"/>
          <w:u w:val="single"/>
          <w:rtl w:val="true"/>
        </w:rPr>
        <w:t>לבקשת ב</w:t>
      </w:r>
      <w:r>
        <w:rPr>
          <w:rFonts w:cs="Calibri" w:ascii="Calibri" w:hAnsi="Calibri"/>
          <w:u w:val="single"/>
          <w:rtl w:val="true"/>
        </w:rPr>
        <w:t>"</w:t>
      </w:r>
      <w:r>
        <w:rPr>
          <w:rFonts w:ascii="Calibri" w:hAnsi="Calibri" w:cs="Calibri"/>
          <w:u w:val="single"/>
          <w:rtl w:val="true"/>
        </w:rPr>
        <w:t>כ המאשימה וללא התנגדות</w:t>
      </w:r>
      <w:r>
        <w:rPr>
          <w:rFonts w:cs="Calibri" w:ascii="Calibri" w:hAnsi="Calibri"/>
          <w:u w:val="single"/>
          <w:rtl w:val="true"/>
        </w:rPr>
        <w:t>)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המזכירות תשלח עותק לשרות המבחן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 xml:space="preserve">זכות ערעור לבית המשפט המחוזי תוך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 מהיום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sz w:val="6"/>
          <w:szCs w:val="6"/>
        </w:rPr>
      </w:pPr>
      <w:r>
        <w:rPr>
          <w:rFonts w:cs="Calibri" w:ascii="Calibri" w:hAnsi="Calibri"/>
          <w:sz w:val="6"/>
          <w:szCs w:val="6"/>
          <w:rtl w:val="true"/>
        </w:rPr>
        <w:t>&lt;</w:t>
      </w:r>
      <w:r>
        <w:rPr>
          <w:rFonts w:cs="Calibri" w:ascii="Calibri" w:hAnsi="Calibri"/>
          <w:sz w:val="6"/>
          <w:szCs w:val="6"/>
        </w:rPr>
        <w:t>#4#</w:t>
      </w:r>
      <w:r>
        <w:rPr>
          <w:rFonts w:cs="Calibri" w:ascii="Calibri" w:hAnsi="Calibri"/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כסלו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נובמבר </w:t>
      </w:r>
      <w:r>
        <w:rPr>
          <w:rFonts w:cs="Arial" w:ascii="Arial" w:hAnsi="Arial"/>
          <w:b/>
          <w:bCs/>
        </w:rPr>
        <w:t>2017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הנוכחים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b/>
          <w:bCs/>
          <w:rtl w:val="true"/>
        </w:rPr>
        <w:t xml:space="preserve">   </w:t>
      </w:r>
      <w:r>
        <w:rPr>
          <w:b/>
          <w:bCs/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רות שפילברג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50630-11-16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תביעות מרום הגליל והגולן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עקיבא אריה ניסנבוים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1d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810781" TargetMode="External"/><Relationship Id="rId8" Type="http://schemas.openxmlformats.org/officeDocument/2006/relationships/hyperlink" Target="http://www.nevo.co.il/case/179162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611948" TargetMode="External"/><Relationship Id="rId11" Type="http://schemas.openxmlformats.org/officeDocument/2006/relationships/hyperlink" Target="http://www.nevo.co.il/law/70301/71d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2022-07-28T11:44:00Z</dcterms:created>
  <dc:creator> </dc:creator>
  <dc:description/>
  <cp:keywords/>
  <dc:language>en-IL</dc:language>
  <cp:lastModifiedBy>h10</cp:lastModifiedBy>
  <dcterms:modified xsi:type="dcterms:W3CDTF">2022-07-28T11:44:00Z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שלוחת תביעות מרום הגליל והגולן</vt:lpwstr>
  </property>
  <property fmtid="{D5CDD505-2E9C-101B-9397-08002B2CF9AE}" pid="3" name="APPELLEE">
    <vt:lpwstr>עקיבא אריה ניסנבוים</vt:lpwstr>
  </property>
  <property fmtid="{D5CDD505-2E9C-101B-9397-08002B2CF9AE}" pid="4" name="CASESLISTTMP1">
    <vt:lpwstr>5810781;17916229;5611948</vt:lpwstr>
  </property>
  <property fmtid="{D5CDD505-2E9C-101B-9397-08002B2CF9AE}" pid="5" name="CITY">
    <vt:lpwstr>ק"ש</vt:lpwstr>
  </property>
  <property fmtid="{D5CDD505-2E9C-101B-9397-08002B2CF9AE}" pid="6" name="DATE">
    <vt:lpwstr>20171121</vt:lpwstr>
  </property>
  <property fmtid="{D5CDD505-2E9C-101B-9397-08002B2CF9AE}" pid="7" name="ISABSTRACT">
    <vt:lpwstr>Y</vt:lpwstr>
  </property>
  <property fmtid="{D5CDD505-2E9C-101B-9397-08002B2CF9AE}" pid="8" name="JUDGE">
    <vt:lpwstr>רות שפילברג כהן</vt:lpwstr>
  </property>
  <property fmtid="{D5CDD505-2E9C-101B-9397-08002B2CF9AE}" pid="9" name="LAWLISTTMP1">
    <vt:lpwstr>70301/144.a;071d</vt:lpwstr>
  </property>
  <property fmtid="{D5CDD505-2E9C-101B-9397-08002B2CF9AE}" pid="10" name="NEWPARTA">
    <vt:lpwstr>50630</vt:lpwstr>
  </property>
  <property fmtid="{D5CDD505-2E9C-101B-9397-08002B2CF9AE}" pid="11" name="NEWPARTB">
    <vt:lpwstr>11</vt:lpwstr>
  </property>
  <property fmtid="{D5CDD505-2E9C-101B-9397-08002B2CF9AE}" pid="12" name="NEWPARTC">
    <vt:lpwstr>16</vt:lpwstr>
  </property>
  <property fmtid="{D5CDD505-2E9C-101B-9397-08002B2CF9AE}" pid="13" name="NEWPROC">
    <vt:lpwstr>תפ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380020171121</vt:lpwstr>
  </property>
  <property fmtid="{D5CDD505-2E9C-101B-9397-08002B2CF9AE}" pid="17" name="TYPE_N_DATE">
    <vt:lpwstr>38020171121</vt:lpwstr>
  </property>
  <property fmtid="{D5CDD505-2E9C-101B-9397-08002B2CF9AE}" pid="18" name="WORDNUMPAGES">
    <vt:lpwstr>8</vt:lpwstr>
  </property>
</Properties>
</file>