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1738"/>
        <w:gridCol w:w="239"/>
        <w:gridCol w:w="926"/>
        <w:gridCol w:w="2936"/>
        <w:gridCol w:w="83"/>
      </w:tblGrid>
      <w:tr>
        <w:trPr>
          <w:trHeight w:val="418" w:hRule="exact"/>
        </w:trPr>
        <w:tc>
          <w:tcPr>
            <w:tcW w:w="5783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בחדרה</w:t>
            </w:r>
          </w:p>
        </w:tc>
        <w:tc>
          <w:tcPr>
            <w:tcW w:w="3019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4618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50873-05-10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מחאמיד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926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  <w:tc>
          <w:tcPr>
            <w:tcW w:w="3019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719" w:type="dxa"/>
            <w:gridSpan w:val="5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פנינה ארגמן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  <w:tc>
          <w:tcPr>
            <w:tcW w:w="8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5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6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gridSpan w:val="5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מוסטפא מחאמיד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נוכחים</w:t>
      </w:r>
      <w:r>
        <w:rPr>
          <w:b w:val="false"/>
          <w:bCs w:val="false"/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ליאור בנימין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 xml:space="preserve">בעצמו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מובא על ידי הליווי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עאדל בויראת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 הורשע עפ</w:t>
      </w:r>
      <w:r>
        <w:rPr>
          <w:rtl w:val="true"/>
        </w:rPr>
        <w:t>"</w:t>
      </w:r>
      <w:r>
        <w:rPr>
          <w:rtl w:val="true"/>
        </w:rPr>
        <w:t>י הודייתו בעביר</w:t>
      </w:r>
      <w:r>
        <w:rPr>
          <w:rtl w:val="true"/>
        </w:rPr>
        <w:t>ות</w:t>
      </w:r>
      <w:r>
        <w:rPr>
          <w:rtl w:val="true"/>
        </w:rPr>
        <w:t xml:space="preserve"> המיוחס</w:t>
      </w:r>
      <w:r>
        <w:rPr>
          <w:rtl w:val="true"/>
        </w:rPr>
        <w:t>ו</w:t>
      </w:r>
      <w:r>
        <w:rPr>
          <w:rtl w:val="true"/>
        </w:rPr>
        <w:t>ת לו בכתב 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אכן הנאשם הודה בהזדמנות הראשונה כבר ביום </w:t>
      </w:r>
      <w:r>
        <w:rPr/>
        <w:t>6.7.10</w:t>
      </w:r>
      <w:r>
        <w:rPr>
          <w:rtl w:val="true"/>
        </w:rPr>
        <w:t xml:space="preserve"> </w:t>
      </w:r>
      <w:r>
        <w:rPr>
          <w:rtl w:val="true"/>
        </w:rPr>
        <w:t>בעובדות כתב האישום</w:t>
      </w:r>
      <w:r>
        <w:rPr>
          <w:rtl w:val="true"/>
        </w:rPr>
        <w:t xml:space="preserve">, </w:t>
      </w:r>
      <w:r>
        <w:rPr>
          <w:rtl w:val="true"/>
        </w:rPr>
        <w:t>אך עדיין גם אם אקבל את טיעוניו של ב</w:t>
      </w:r>
      <w:r>
        <w:rPr>
          <w:rtl w:val="true"/>
        </w:rPr>
        <w:t>"</w:t>
      </w:r>
      <w:r>
        <w:rPr>
          <w:rtl w:val="true"/>
        </w:rPr>
        <w:t>כ הנאשם לענין אופיו של הנשק</w:t>
      </w:r>
      <w:r>
        <w:rPr>
          <w:rtl w:val="true"/>
        </w:rPr>
        <w:t xml:space="preserve">, </w:t>
      </w:r>
      <w:r>
        <w:rPr>
          <w:rtl w:val="true"/>
        </w:rPr>
        <w:t>עדיין מדובר בנשק ולכן העבירה נושאת חומרה במיוחד על רקע המציאות הקשה לענין האלימות בחברה והשימוש בנשק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 מצווה ליתן ביטוי לאינטרס הציבורי ולהשית עונש משמעותי ומרתיע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אך יחד עם זאת לאור עקרון הענישה האינדיוידואלית</w:t>
      </w:r>
      <w:r>
        <w:rPr>
          <w:rtl w:val="true"/>
        </w:rPr>
        <w:t xml:space="preserve">, </w:t>
      </w:r>
      <w:r>
        <w:rPr>
          <w:rtl w:val="true"/>
        </w:rPr>
        <w:t>בפניי נסיבות נוספות כפי ששמעתי מפי ב</w:t>
      </w:r>
      <w:r>
        <w:rPr>
          <w:rtl w:val="true"/>
        </w:rPr>
        <w:t>"</w:t>
      </w:r>
      <w:r>
        <w:rPr>
          <w:rtl w:val="true"/>
        </w:rPr>
        <w:t>כ הנאשם וכפי שהדבר בא לידי ביטוי גם בתסקיר שירות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הנאשם כיום מרצה עונש מאסר בן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 בגין עבירה מסוג אחר</w:t>
      </w:r>
      <w:r>
        <w:rPr>
          <w:rtl w:val="true"/>
        </w:rPr>
        <w:t xml:space="preserve">, </w:t>
      </w:r>
      <w:r>
        <w:rPr>
          <w:rtl w:val="true"/>
        </w:rPr>
        <w:t>ולחובתו גם הרשעה קודמת ורישום פלילי גם כן בעבירות מסוג אחר אולם עדיין בעבירות אלימות בחלק מהעבירות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 בגין תיק זה היה עצור כחודש ושבוע</w:t>
      </w:r>
      <w:r>
        <w:rPr>
          <w:rtl w:val="true"/>
        </w:rPr>
        <w:t xml:space="preserve">, </w:t>
      </w:r>
      <w:r>
        <w:rPr>
          <w:rtl w:val="true"/>
        </w:rPr>
        <w:t>ולאחר מכן היה במעצר בית מלא כ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 עד שהחל לרצות את המאסר בגין הרשעתו האחרונה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במכלול כל הנסיבות שבפניי הגם שיש מקום להשית עונש משמעותי ולא ניתן להסתפק בעונש מאסר בחופף</w:t>
      </w:r>
      <w:r>
        <w:rPr>
          <w:rtl w:val="true"/>
        </w:rPr>
        <w:t xml:space="preserve">, </w:t>
      </w:r>
      <w:r>
        <w:rPr>
          <w:rtl w:val="true"/>
        </w:rPr>
        <w:t>לענין תקופת המאסר אקח בחשבון את הנימוקים לקולא מבלי שאתעלם מהאינטרס הציבורי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לפיכך </w:t>
      </w:r>
      <w:r>
        <w:rPr>
          <w:rtl w:val="true"/>
        </w:rPr>
        <w:t xml:space="preserve">אני גוזרת עליו את העונשים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אני דנה את הנאשם 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 מאסר בפועל במצטבר למאסר שמרצה כיום בניכוי תקופת המעצר בגין תיק זה</w:t>
      </w:r>
      <w:r>
        <w:rPr>
          <w:rtl w:val="true"/>
        </w:rPr>
        <w:t xml:space="preserve">, </w:t>
      </w:r>
      <w:r>
        <w:rPr>
          <w:rtl w:val="true"/>
        </w:rPr>
        <w:t xml:space="preserve">דהיינו מיום </w:t>
      </w:r>
      <w:r>
        <w:rPr/>
        <w:t>30.5.10</w:t>
      </w:r>
      <w:r>
        <w:rPr>
          <w:rtl w:val="true"/>
        </w:rPr>
        <w:t xml:space="preserve"> </w:t>
      </w:r>
      <w:r>
        <w:rPr>
          <w:rtl w:val="true"/>
        </w:rPr>
        <w:t xml:space="preserve">עד ליום </w:t>
      </w:r>
      <w:r>
        <w:rPr/>
        <w:t>6.7.10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מאסר על תנאי לתקופה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והתנאי הוא שהנאשם לא יעבור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מיום </w:t>
      </w:r>
      <w:r>
        <w:rPr>
          <w:rtl w:val="true"/>
        </w:rPr>
        <w:t xml:space="preserve">שחרורו עבירה בניגוד לסעיף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ויורשע בה בין בתקופת התנאי ובין לאחריו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ניתן בזה צו לחילוט המוצגים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הודעה והוסברה זכות הערעור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ה</w:t>
      </w:r>
      <w:r>
        <w:rPr>
          <w:b/>
          <w:bCs/>
          <w:rtl w:val="true"/>
        </w:rPr>
        <w:t xml:space="preserve">'  </w:t>
      </w:r>
      <w:r>
        <w:rPr>
          <w:b/>
          <w:b/>
          <w:bCs/>
          <w:rtl w:val="true"/>
        </w:rPr>
        <w:t>אדר א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09/02/2011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פנינה ארגמן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פנינה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ארגמן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ויקי ב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ויקי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ביטון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50873-05-10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מוסטפא מחאמיד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2011-03-09T07:57:00Z</dcterms:created>
  <dc:creator> </dc:creator>
  <dc:description/>
  <cp:keywords/>
  <dc:language>en-IL</dc:language>
  <cp:lastModifiedBy>hofit</cp:lastModifiedBy>
  <dcterms:modified xsi:type="dcterms:W3CDTF">2011-03-09T07:57:00Z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מוסטפא מחאמיד</vt:lpwstr>
  </property>
  <property fmtid="{D5CDD505-2E9C-101B-9397-08002B2CF9AE}" pid="4" name="CITY">
    <vt:lpwstr>חד'</vt:lpwstr>
  </property>
  <property fmtid="{D5CDD505-2E9C-101B-9397-08002B2CF9AE}" pid="5" name="DATE">
    <vt:lpwstr>20110209</vt:lpwstr>
  </property>
  <property fmtid="{D5CDD505-2E9C-101B-9397-08002B2CF9AE}" pid="6" name="JUDGE">
    <vt:lpwstr>פנינה ארגמן</vt:lpwstr>
  </property>
  <property fmtid="{D5CDD505-2E9C-101B-9397-08002B2CF9AE}" pid="7" name="LAWYER">
    <vt:lpwstr>ליאור בנימין;עאדל בויראת</vt:lpwstr>
  </property>
  <property fmtid="{D5CDD505-2E9C-101B-9397-08002B2CF9AE}" pid="8" name="NEWPARTA">
    <vt:lpwstr>50873</vt:lpwstr>
  </property>
  <property fmtid="{D5CDD505-2E9C-101B-9397-08002B2CF9AE}" pid="9" name="NEWPARTB">
    <vt:lpwstr>05</vt:lpwstr>
  </property>
  <property fmtid="{D5CDD505-2E9C-101B-9397-08002B2CF9AE}" pid="10" name="NEWPARTC">
    <vt:lpwstr>10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RemarkFileName">
    <vt:lpwstr>shalom sh 10 05 50873 39 htm</vt:lpwstr>
  </property>
  <property fmtid="{D5CDD505-2E9C-101B-9397-08002B2CF9AE}" pid="14" name="TYPE">
    <vt:lpwstr>3</vt:lpwstr>
  </property>
  <property fmtid="{D5CDD505-2E9C-101B-9397-08002B2CF9AE}" pid="15" name="TYPE_ABS_DATE">
    <vt:lpwstr>380020110209</vt:lpwstr>
  </property>
  <property fmtid="{D5CDD505-2E9C-101B-9397-08002B2CF9AE}" pid="16" name="TYPE_N_DATE">
    <vt:lpwstr>38020110209</vt:lpwstr>
  </property>
  <property fmtid="{D5CDD505-2E9C-101B-9397-08002B2CF9AE}" pid="17" name="WORDNUMPAGES">
    <vt:lpwstr>2</vt:lpwstr>
  </property>
</Properties>
</file>