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51038-02-17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כבהה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אברהם אליקים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עדאי כבהה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‏–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‏ענישה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‏–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‏מדיניות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 </w:t>
      </w:r>
      <w:r>
        <w:rPr>
          <w:rFonts w:cs="FrankRuehl"/>
          <w:szCs w:val="26"/>
          <w:rtl w:val="true"/>
        </w:rPr>
        <w:t>ובהסעה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לארץ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נצרת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במיוחס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הנוסף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שהסיע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רובה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מאולתר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בריבונותה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סחר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וכמותו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- 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 w:before="0" w:after="120"/>
        <w:ind w:firstLine="360" w:start="360" w:end="0"/>
        <w:contextualSpacing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מבוא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FrankRuehl"/>
        </w:rPr>
      </w:pP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הסכמה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</w:t>
      </w:r>
      <w:r>
        <w:rPr>
          <w:rFonts w:ascii="Arial" w:hAnsi="Arial" w:cs="FrankRuehl"/>
          <w:szCs w:val="28"/>
          <w:rtl w:val="true"/>
        </w:rPr>
        <w:t>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+</w:t>
      </w:r>
      <w:r>
        <w:rPr>
          <w:rFonts w:ascii="Arial" w:hAnsi="Arial" w:cs="FrankRuehl"/>
          <w:szCs w:val="28"/>
          <w:rtl w:val="true"/>
        </w:rPr>
        <w:t>סיפא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וסעיף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12"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העונשין</w:t>
        </w:r>
      </w:hyperlink>
      <w:r>
        <w:rPr>
          <w:rFonts w:cs="Miriam" w:ascii="Arial" w:hAnsi="Arial"/>
          <w:rtl w:val="true"/>
        </w:rPr>
        <w:t>-</w:t>
      </w:r>
      <w:r>
        <w:rPr>
          <w:rFonts w:ascii="Arial" w:hAnsi="Arial" w:cs="Miriam"/>
          <w:rtl w:val="true"/>
        </w:rPr>
        <w:t>התשל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ז</w:t>
      </w:r>
      <w:r>
        <w:rPr>
          <w:rFonts w:cs="Miriam" w:ascii="Arial" w:hAnsi="Arial"/>
          <w:rtl w:val="true"/>
        </w:rPr>
        <w:t>-</w:t>
      </w:r>
      <w:r>
        <w:rPr>
          <w:rFonts w:cs="Miriam" w:ascii="Arial" w:hAnsi="Arial"/>
        </w:rPr>
        <w:t>1977</w:t>
      </w:r>
      <w:r>
        <w:rPr>
          <w:rFonts w:cs="FrankRuehl" w:ascii="Arial" w:hAnsi="Arial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החוק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ובהסעה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12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rtl w:val="true"/>
        </w:rPr>
        <w:t>ל</w:t>
      </w:r>
      <w:r>
        <w:rPr>
          <w:rFonts w:ascii="Arial" w:hAnsi="Arial" w:cs="Miriam"/>
          <w:rtl w:val="true"/>
        </w:rPr>
        <w:t>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הכניסה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לארץ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תש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יב</w:t>
      </w:r>
      <w:r>
        <w:rPr>
          <w:rFonts w:cs="Miriam" w:ascii="Arial" w:hAnsi="Arial"/>
          <w:rtl w:val="true"/>
        </w:rPr>
        <w:t>-</w:t>
      </w:r>
      <w:r>
        <w:rPr>
          <w:rFonts w:cs="Miriam" w:ascii="Arial" w:hAnsi="Arial"/>
        </w:rPr>
        <w:t>1952</w:t>
      </w:r>
      <w:r>
        <w:rPr>
          <w:rFonts w:cs="FrankRuehl" w:ascii="Arial" w:hAnsi="Arial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צירף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נצרת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7622-01-18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שצורף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שעניינו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5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במיוחס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הנוסף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autoSpaceDE w:val="false"/>
        <w:spacing w:lineRule="auto" w:line="360" w:before="120" w:after="120"/>
        <w:ind w:hanging="360"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בחודש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דצמבר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2016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הגיע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הפלסטינאית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חברו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ומכונה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אבו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סן</w:t>
      </w:r>
      <w:r>
        <w:rPr>
          <w:rFonts w:cs="FrankRuehl" w:ascii="Arial" w:hAnsi="Arial"/>
          <w:szCs w:val="28"/>
          <w:rtl w:val="true"/>
        </w:rPr>
        <w:t>"  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מוחמד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לביתו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צייד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שסוגל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ולהמית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במהלך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המפגש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והחזירו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למוחמד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autoSpaceDE w:val="false"/>
        <w:spacing w:lineRule="auto" w:line="360" w:before="120" w:after="12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בהמשך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הסיע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ברטעה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בשטחי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הפלסטינאית</w:t>
      </w:r>
      <w:r>
        <w:rPr>
          <w:rFonts w:cs="FrankRuehl" w:ascii="Arial" w:hAnsi="Arial"/>
          <w:szCs w:val="28"/>
          <w:rtl w:val="true"/>
        </w:rPr>
        <w:t>,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autoSpaceDE w:val="false"/>
        <w:spacing w:lineRule="auto" w:line="360" w:before="120" w:after="120"/>
        <w:ind w:start="720" w:end="0"/>
        <w:jc w:val="both"/>
        <w:rPr/>
      </w:pPr>
      <w:r>
        <w:rPr>
          <w:rFonts w:eastAsia="Arial" w:cs="Aria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המפגש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בשעה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22:00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לערך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עכברה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תמורת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1,000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 xml:space="preserve">₪ </w:t>
      </w:r>
      <w:r>
        <w:rPr>
          <w:rFonts w:ascii="Arial" w:hAnsi="Arial" w:cs="FrankRuehl"/>
          <w:szCs w:val="28"/>
          <w:rtl w:val="true"/>
        </w:rPr>
        <w:t>כשהנשק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יודע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ומוחמד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עכברה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ירד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כשברשותו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ומכר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שזהותו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ידועה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למאשימה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שבוצע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לבדוק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תקינותו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בהמשך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החזיר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בשטחי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הפלסטינאית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בנוסף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31.1.2017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הסמוכה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בקוטר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5.56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בודד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תחמושת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שצורף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24.1.2017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ברטעה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קרל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גוסטב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וזאת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להחזקתו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טרם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שמיעת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העדויות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27.4.2017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בעקבות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שתוקן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ובהסכמת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התבקש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להכין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cs="FrankRuehl" w:ascii="Arial" w:hAnsi="Arial"/>
          <w:sz w:val="28"/>
          <w:szCs w:val="28"/>
          <w:rtl w:val="true"/>
        </w:rPr>
        <w:t xml:space="preserve">.  </w:t>
      </w:r>
      <w:r>
        <w:rPr>
          <w:rFonts w:ascii="Arial" w:hAnsi="Arial" w:cs="FrankRuehl"/>
          <w:sz w:val="28"/>
          <w:sz w:val="28"/>
          <w:szCs w:val="28"/>
          <w:rtl w:val="true"/>
        </w:rPr>
        <w:t>בעקבות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לישיבת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12.9.2017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התעורר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הרושם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המיוחס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מששב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לבקשת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הסנגור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הוריתי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משלים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משהודה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הוכנו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משלימים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firstLine="360" w:start="360" w:end="0"/>
        <w:contextualSpacing/>
        <w:jc w:val="start"/>
        <w:rPr>
          <w:rFonts w:ascii="Arial" w:hAnsi="Arial" w:cs="Miriam"/>
          <w:szCs w:val="28"/>
        </w:rPr>
      </w:pPr>
      <w:r>
        <w:rPr>
          <w:rFonts w:cs="Miriam" w:ascii="Arial" w:hAnsi="Arial"/>
          <w:szCs w:val="28"/>
          <w:rtl w:val="true"/>
        </w:rPr>
      </w:r>
    </w:p>
    <w:p>
      <w:pPr>
        <w:pStyle w:val="Normal"/>
        <w:spacing w:lineRule="auto" w:line="360" w:before="120" w:after="120"/>
        <w:ind w:firstLine="360" w:start="360" w:end="0"/>
        <w:contextualSpacing/>
        <w:jc w:val="start"/>
        <w:rPr>
          <w:rFonts w:ascii="Arial" w:hAnsi="Arial"/>
        </w:rPr>
      </w:pPr>
      <w:r>
        <w:rPr>
          <w:rFonts w:ascii="Arial" w:hAnsi="Arial" w:cs="Miriam"/>
          <w:rtl w:val="true"/>
        </w:rPr>
        <w:t>תסקירי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המבחן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העדכני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והאחרון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13.2.2018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הבהיר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בספק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ליכולתו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לבסס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הליכי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מעצרו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שצורף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הליכי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יילקח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גילו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הצעיר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העדר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קודמות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ותפקוד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תעסוקתי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ולימודי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לאורך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התסקירים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תיארה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קצינת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לזהות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עמדות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השפעות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חברתיות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בעייתית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בשיתוף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רגשי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בזיהוי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רגשות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שליליים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חלקים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תואמים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הפסאדה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התקינה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והנורמטיבית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מעוניין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להציג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cs="FrankRuehl" w:ascii="Arial" w:hAnsi="Arial"/>
          <w:szCs w:val="28"/>
          <w:rtl w:val="true"/>
        </w:rPr>
        <w:t>[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7.9.2017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להימנע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ולהסתפק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מאוחרים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שצורף</w:t>
      </w:r>
      <w:r>
        <w:rPr>
          <w:rFonts w:cs="FrankRuehl" w:ascii="Arial" w:hAnsi="Arial"/>
          <w:szCs w:val="28"/>
          <w:rtl w:val="true"/>
        </w:rPr>
        <w:t>].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start"/>
        <w:rPr>
          <w:rFonts w:ascii="Arial" w:hAnsi="Arial" w:cs="Miriam"/>
        </w:rPr>
      </w:pPr>
      <w:r>
        <w:rPr>
          <w:rFonts w:ascii="Arial" w:hAnsi="Arial" w:cs="Miriam"/>
          <w:rtl w:val="true"/>
        </w:rPr>
        <w:t>תמצית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טענות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נפרדים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בשתי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הזדמנויות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וחצי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התחמושת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שצורף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שבפניי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120" w:after="12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השילוב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הכניסה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לישראל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מלמד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מסוכנות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גבוה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במיוחד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ארוך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לראותה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כחמורה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חומרה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בביתו</w:t>
      </w:r>
      <w:r>
        <w:rPr>
          <w:rFonts w:cs="FrankRuehl" w:ascii="Arial" w:hAnsi="Arial"/>
          <w:szCs w:val="28"/>
          <w:rtl w:val="true"/>
        </w:rPr>
        <w:t>.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מלמדת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שהוא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לתמיכה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בטענותיו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המתחמים</w:t>
      </w:r>
      <w:r>
        <w:rPr>
          <w:rFonts w:cs="FrankRuehl" w:ascii="Arial" w:hAnsi="Arial"/>
          <w:szCs w:val="28"/>
          <w:rtl w:val="true"/>
        </w:rPr>
        <w:t xml:space="preserve">.  </w:t>
      </w:r>
    </w:p>
    <w:p>
      <w:pPr>
        <w:pStyle w:val="Normal"/>
        <w:spacing w:lineRule="auto" w:line="360" w:before="120" w:after="12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לסיכום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הבהיר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זוק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אלקטרוני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למצות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להסתפק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בתקופות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cs="FrankRuehl" w:ascii="Arial" w:hAnsi="Arial"/>
          <w:szCs w:val="28"/>
          <w:rtl w:val="true"/>
        </w:rPr>
        <w:t xml:space="preserve">: 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מאחורי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סורג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ובריח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באיזוק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אלקטרוני</w:t>
      </w:r>
      <w:r>
        <w:rPr>
          <w:rFonts w:cs="FrankRuehl" w:ascii="Arial" w:hAnsi="Arial"/>
          <w:szCs w:val="28"/>
          <w:rtl w:val="true"/>
        </w:rPr>
        <w:t xml:space="preserve">. 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לאמץ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עמדת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תחילה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והתרשם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בבחור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דפוסים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עברייניים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ותפקד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בתחומי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השונים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יכול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הליכי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נוכח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מעצרו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האחרון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בהזדמנות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שיוחסו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במיוחס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שצורף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במהלך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חקירותיו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שנתפס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שצורף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בהמשך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לטענתו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להראות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לקיחת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והודאה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בטעות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בגיר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כהגדרתו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hyperlink r:id="rId17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7781/12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25.6.2013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מאורס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למשפחה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נפשות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בהסעות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בפרנסת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עקב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פציעת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אביו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לעכברה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בחקירה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במשטרה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במהלך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הנסיעה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לעכברה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מתחילתה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והוסיף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להנחיות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פרקליט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המדינה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מוגש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מתלווה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נוספת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למספר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לתמיכה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בטענותיו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שונים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המיוחסת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שצורף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בהתבסס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שהגיש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יכול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בתום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הטיעונים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חרטה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בטעותו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הבהיר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להתחתן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ארוסתו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cs="FrankRueh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120" w:after="120"/>
        <w:ind w:start="720" w:end="0"/>
        <w:jc w:val="start"/>
        <w:rPr>
          <w:rFonts w:ascii="Arial" w:hAnsi="Arial" w:cs="Miriam"/>
        </w:rPr>
      </w:pPr>
      <w:r>
        <w:rPr>
          <w:rFonts w:ascii="Arial" w:hAnsi="Arial" w:cs="Miriam"/>
          <w:rtl w:val="true"/>
        </w:rPr>
        <w:t>דיון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</w:rPr>
        <w:t>113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שקובע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העיקרון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המנחה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קיומו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color w:val="000000"/>
          <w:sz w:val="28"/>
          <w:szCs w:val="28"/>
          <w:rtl w:val="true"/>
        </w:rPr>
        <w:t>" (</w:t>
      </w:r>
      <w:hyperlink r:id="rId1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מקובלת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עמדת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בשלושה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אירועים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נפרדים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 w:before="120" w:after="120"/>
        <w:ind w:start="714" w:end="0"/>
        <w:jc w:val="both"/>
        <w:rPr>
          <w:rFonts w:ascii="Arial" w:hAnsi="Arial" w:cs="Arial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  <w:t>-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ברובה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צייד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הוביל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פעמיים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ברכבו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ביחד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מוחמד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הסיע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למרות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שמדובר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בתושב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השוהה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בישראל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בפעם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הסיעו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לכפר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ברטעה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לחלק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הנמצא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בשטחי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הרשות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הפלסטינאית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ובפעם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לכפר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עכברה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(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120" w:after="120"/>
        <w:ind w:start="714" w:end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  <w:t>-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בסמוך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כדורי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(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120" w:after="120"/>
        <w:ind w:start="714" w:end="0"/>
        <w:jc w:val="both"/>
        <w:rPr>
          <w:rFonts w:ascii="Arial" w:hAnsi="Arial" w:cs="Arial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  <w:t>-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בביתו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מאולתר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כמתואר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שצורף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(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120" w:after="120"/>
        <w:ind w:start="714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120" w:after="120"/>
        <w:ind w:start="714" w:end="0"/>
        <w:jc w:val="both"/>
        <w:rPr/>
      </w:pP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האירועים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הנושא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2375/15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במאוחד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2377/15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נס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22.2.2018</w:t>
      </w:r>
      <w:r>
        <w:rPr>
          <w:rFonts w:cs="FrankRueh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 w:before="120" w:after="120"/>
        <w:ind w:start="714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rial" w:hAnsi="Arial"/>
        </w:rPr>
      </w:pPr>
      <w:r>
        <w:rPr>
          <w:rFonts w:ascii="Arial" w:hAnsi="Arial" w:cs="Miriam"/>
          <w:rtl w:val="true"/>
        </w:rPr>
        <w:t>האירוע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הראשון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 xml:space="preserve">- </w:t>
      </w:r>
      <w:r>
        <w:rPr>
          <w:rFonts w:ascii="Arial" w:hAnsi="Arial" w:cs="Miriam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14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הסיע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מוחמד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תושב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הרשות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הפלסטינאית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ששהה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בישראל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פעם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לברטעה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ופעם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שנייה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לעכברה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14" w:end="0"/>
        <w:jc w:val="both"/>
        <w:rPr/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ומוחמד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חברים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ובש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הפעמים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מוחמד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הגיע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בכוחות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שהכניס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לתוך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שטח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נסיבה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מקלה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ככל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שמדובר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בהחזקת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הצייד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בתחילת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לזמן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קצר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14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120" w:after="120"/>
        <w:ind w:start="714" w:end="0"/>
        <w:jc w:val="both"/>
        <w:rPr/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הנסיעה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השנייה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החלק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החמור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במעשיו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נחשף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הנסיעה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לכפר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עכברה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מוביל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ברכבו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צייד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כטענתו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במשטרה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המשיך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בהסעת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השב</w:t>
      </w:r>
      <w:r>
        <w:rPr>
          <w:rFonts w:cs="FrankRueh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ובהובלת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ברכבו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ולנגד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עיניו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התרחש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מפגש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שהמחיש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הפוטנציאל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החמור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במעשיו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בנוכחות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מוחמד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ירי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להוכיח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תקינתו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לקונה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שרכש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מהעובדה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גבה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</w:rPr>
        <w:t>1,000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ממוחמד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עבור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אותה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נסיעה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(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להבדיל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מהתנהגותו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בנסיעה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מצביעה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משמעות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אותה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נסיעה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בעיניו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14" w:end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לעובדות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הצייד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סוגל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לירות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כדור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ולהמית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 w:ascii="Arial" w:hAnsi="Aria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14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נפגעו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בינונית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ערכים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מוגנים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בריבונותה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ובטחונו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מינעד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רחב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נשיאה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סחר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וכמותו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להתעלם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בכדור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נבדקה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תקינות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שמעיד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המסוכנות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הרבה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לדעת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לאיזה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עשוי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להתגלגל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שעשוי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להיגרם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9702/16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אלוליאיה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ותחמושת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overflowPunct w:val="false"/>
        <w:ind w:start="1440" w:end="72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בפסיקת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באה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בשורה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ארוכה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פסקי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החמרה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...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ונשיאת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החומרה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הטמונה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הצורך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להרתיע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מפניהן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מכביד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...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פעילות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עבריינית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הכוללת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העברת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ממקום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חוקי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לרשותו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והחזקתו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זמן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פיקוח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ובקרה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בסופו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לתוצאות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אסון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היקפן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המתרחב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המבוצעות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החזקת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חוקי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יצירת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הפתח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והאפשרות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הזמינה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לשימוש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סיכון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לשלום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...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וכמה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בסוג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שעשוי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למותו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3210" w:leader="none"/>
          <w:tab w:val="left" w:pos="6753" w:leader="none"/>
        </w:tabs>
        <w:overflowPunct w:val="false"/>
        <w:spacing w:lineRule="auto" w:line="360"/>
        <w:ind w:start="720" w:end="0"/>
        <w:jc w:val="start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3210" w:leader="none"/>
          <w:tab w:val="left" w:pos="6753" w:leader="none"/>
        </w:tabs>
        <w:overflowPunct w:val="false"/>
        <w:spacing w:lineRule="auto" w:line="360"/>
        <w:ind w:start="720" w:end="0"/>
        <w:jc w:val="start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3210" w:leader="none"/>
          <w:tab w:val="left" w:pos="6753" w:leader="none"/>
        </w:tabs>
        <w:overflowPunct w:val="false"/>
        <w:spacing w:lineRule="auto" w:line="360"/>
        <w:ind w:start="720" w:end="0"/>
        <w:jc w:val="start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3210" w:leader="none"/>
          <w:tab w:val="left" w:pos="6753" w:leader="none"/>
        </w:tabs>
        <w:overflowPunct w:val="false"/>
        <w:spacing w:lineRule="auto" w:line="360"/>
        <w:ind w:start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5004/17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pacing w:val="10"/>
          <w:rtl w:val="true"/>
        </w:rPr>
        <w:t>מדינת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ישראל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נגד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אלעטאונה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20.11.2017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החמיר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שהחזיק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אקדחים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והעמיד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חלף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שהטיל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3210" w:leader="none"/>
          <w:tab w:val="left" w:pos="6753" w:leader="none"/>
        </w:tabs>
        <w:overflowPunct w:val="false"/>
        <w:spacing w:lineRule="auto" w:line="360"/>
        <w:ind w:start="720" w:end="0"/>
        <w:jc w:val="both"/>
        <w:rPr>
          <w:spacing w:val="10"/>
          <w:sz w:val="28"/>
          <w:szCs w:val="28"/>
        </w:rPr>
      </w:pP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התארס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להינשא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ותסקירי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חיוביים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3210" w:leader="none"/>
          <w:tab w:val="left" w:pos="6753" w:leader="none"/>
        </w:tabs>
        <w:overflowPunct w:val="false"/>
        <w:spacing w:lineRule="auto" w:line="360"/>
        <w:ind w:end="0"/>
        <w:jc w:val="start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/>
      </w:pP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ב</w:t>
      </w:r>
      <w:hyperlink r:id="rId23">
        <w:r>
          <w:rPr>
            <w:rStyle w:val="Hyperlink"/>
            <w:rFonts w:ascii="Arial TUR;Arial Unicode MS" w:hAnsi="Arial TUR;Arial Unicode MS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 Unicode MS" w:hAnsi="Arial TUR;Arial Unicode MS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 Unicode MS" w:hAnsi="Arial TUR;Arial Unicode MS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 Unicode MS" w:hAnsi="Arial TUR;Arial Unicode MS"/>
            <w:color w:val="0000FF"/>
            <w:spacing w:val="10"/>
            <w:sz w:val="22"/>
            <w:szCs w:val="28"/>
            <w:u w:val="single"/>
          </w:rPr>
          <w:t>2243/17</w:t>
        </w:r>
      </w:hyperlink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אכראם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נגד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מדינת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 </w:t>
      </w:r>
      <w:r>
        <w:rPr>
          <w:rFonts w:ascii="Arial TUR;Arial Unicode MS" w:hAnsi="Arial TUR;Arial Unicode MS" w:cs="Miriam"/>
          <w:spacing w:val="10"/>
          <w:rtl w:val="true"/>
        </w:rPr>
        <w:t>ישראל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  <w:t>(</w:t>
      </w:r>
      <w:r>
        <w:rPr>
          <w:rFonts w:cs="FrankRuehl" w:ascii="Arial TUR;Arial Unicode MS" w:hAnsi="Arial TUR;Arial Unicode MS"/>
          <w:spacing w:val="10"/>
          <w:sz w:val="22"/>
          <w:szCs w:val="28"/>
        </w:rPr>
        <w:t>29.10.2017</w:t>
      </w:r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  <w:t xml:space="preserve">)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שהחזיק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ונטל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ונשא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  <w:t xml:space="preserve">,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  <w:t>-</w:t>
      </w:r>
      <w:r>
        <w:rPr>
          <w:rFonts w:cs="FrankRuehl" w:ascii="Arial TUR;Arial Unicode MS" w:hAnsi="Arial TUR;Arial Unicode MS"/>
          <w:spacing w:val="10"/>
          <w:sz w:val="22"/>
          <w:szCs w:val="28"/>
        </w:rPr>
        <w:t>12</w:t>
      </w:r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 Unicode MS" w:hAnsi="Arial TUR;Arial Unicode MS" w:eastAsia="Arial TUR;Arial Unicode MS" w:cs="Arial TUR;Arial Unicode MS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3210" w:leader="none"/>
          <w:tab w:val="left" w:pos="6753" w:leader="none"/>
        </w:tabs>
        <w:overflowPunct w:val="false"/>
        <w:spacing w:lineRule="auto" w:line="360"/>
        <w:ind w:start="720" w:end="0"/>
        <w:jc w:val="start"/>
        <w:rPr>
          <w:rFonts w:ascii="Arial TUR;Arial Unicode MS" w:hAnsi="Arial TUR;Arial Unicode MS" w:cs="FrankRuehl"/>
          <w:spacing w:val="10"/>
          <w:sz w:val="28"/>
          <w:szCs w:val="28"/>
        </w:rPr>
      </w:pP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start="720" w:end="0"/>
        <w:jc w:val="both"/>
        <w:rPr>
          <w:rFonts w:ascii="Arial TUR;Arial Unicode MS" w:hAnsi="Arial TUR;Arial Unicode MS" w:cs="FrankRuehl"/>
          <w:spacing w:val="10"/>
          <w:sz w:val="28"/>
          <w:szCs w:val="28"/>
        </w:rPr>
      </w:pP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ascii="Arial TUR;Arial Unicode MS" w:hAnsi="Arial TUR;Arial Unicode MS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 Unicode MS" w:hAnsi="Arial TUR;Arial Unicode MS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 Unicode MS" w:hAnsi="Arial TUR;Arial Unicode MS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 Unicode MS" w:hAnsi="Arial TUR;Arial Unicode MS"/>
            <w:color w:val="0000FF"/>
            <w:spacing w:val="10"/>
            <w:sz w:val="28"/>
            <w:szCs w:val="28"/>
            <w:u w:val="single"/>
          </w:rPr>
          <w:t>135/17</w:t>
        </w:r>
      </w:hyperlink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מדינת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ישראל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נגד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בסל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>(</w:t>
      </w:r>
      <w:r>
        <w:rPr>
          <w:rFonts w:cs="FrankRuehl" w:ascii="Arial TUR;Arial Unicode MS" w:hAnsi="Arial TUR;Arial Unicode MS"/>
          <w:spacing w:val="10"/>
          <w:sz w:val="28"/>
          <w:szCs w:val="28"/>
        </w:rPr>
        <w:t>8.3.2017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),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בהחזקה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ונשיאה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,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תת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מקלע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מאולתר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החזיק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למשך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שבוע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.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צעיר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כבן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 Unicode MS" w:hAnsi="Arial TUR;Arial Unicode MS"/>
          <w:spacing w:val="10"/>
          <w:sz w:val="28"/>
          <w:szCs w:val="28"/>
        </w:rPr>
        <w:t>20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.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דן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>-</w:t>
      </w:r>
      <w:r>
        <w:rPr>
          <w:rFonts w:cs="FrankRuehl" w:ascii="Arial TUR;Arial Unicode MS" w:hAnsi="Arial TUR;Arial Unicode MS"/>
          <w:spacing w:val="10"/>
          <w:sz w:val="28"/>
          <w:szCs w:val="28"/>
        </w:rPr>
        <w:t>12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.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החמיר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בעונשו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והעמידו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 Unicode MS" w:hAnsi="Arial TUR;Arial Unicode MS"/>
          <w:spacing w:val="10"/>
          <w:sz w:val="28"/>
          <w:szCs w:val="28"/>
        </w:rPr>
        <w:t>18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וכך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>:</w:t>
      </w:r>
    </w:p>
    <w:p>
      <w:pPr>
        <w:pStyle w:val="Normal"/>
        <w:overflowPunct w:val="false"/>
        <w:ind w:start="1440" w:end="709"/>
        <w:jc w:val="both"/>
        <w:rPr>
          <w:rFonts w:ascii="Arial TUR;Arial Unicode MS" w:hAnsi="Arial TUR;Arial Unicode MS"/>
          <w:spacing w:val="10"/>
          <w:sz w:val="28"/>
          <w:szCs w:val="28"/>
        </w:rPr>
      </w:pP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>"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,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ובכללן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החזקת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ונשיאת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,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מציין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חומרת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הנזק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הכרוך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.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המתגלגל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ליד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עלול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להגיע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גורמים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עברייניים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לפעילות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ביטחונית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,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פגיעתו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הרעה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מורגשת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ומהווה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איום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כולו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;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גדל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ההכרח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להרתיע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היחיד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והרבים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מפני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עיסוק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...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קיימת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מגמת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החמרה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הדרגתית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בעונשים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המושתים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עבריינות</w:t>
      </w:r>
      <w:r>
        <w:rPr>
          <w:rFonts w:ascii="Arial TUR;Arial Unicode MS" w:hAnsi="Arial TUR;Arial Unicode MS" w:eastAsia="Arial TUR;Arial Unicode MS" w:cs="Arial TUR;Arial Unicode MS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;Arial Unicode MS" w:hAnsi="Arial TUR;Arial Unicode MS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overflowPunct w:val="false"/>
        <w:spacing w:lineRule="auto" w:line="360"/>
        <w:ind w:end="0"/>
        <w:jc w:val="both"/>
        <w:rPr>
          <w:rFonts w:ascii="Arial TUR;Arial Unicode MS" w:hAnsi="Arial TUR;Arial Unicode MS" w:eastAsia="Arial TUR;Arial Unicode MS" w:cs="Arial TUR;Arial Unicode MS"/>
          <w:spacing w:val="10"/>
          <w:sz w:val="22"/>
          <w:szCs w:val="22"/>
        </w:rPr>
      </w:pPr>
      <w:r>
        <w:rPr>
          <w:rFonts w:eastAsia="Arial TUR;Arial Unicode MS" w:cs="Arial TUR;Arial Unicode MS" w:ascii="Arial TUR;Arial Unicode MS" w:hAnsi="Arial TUR;Arial Unicode MS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overflowPunct w:val="false"/>
        <w:spacing w:lineRule="auto" w:line="360"/>
        <w:ind w:firstLine="12" w:start="708"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להתעלם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הפלסתינאית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ששהה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מצדיקה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לכשעצמה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ובמיוחד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ומוכר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בנוכחות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5">
        <w:bookmarkStart w:id="9" w:name="casename_body"/>
        <w:bookmarkEnd w:id="9"/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617/15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מונתסר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" w:hAnsi="Arial"/>
          <w:szCs w:val="28"/>
          <w:rtl w:val="true"/>
        </w:rPr>
        <w:t>(‏</w:t>
      </w:r>
      <w:r>
        <w:rPr>
          <w:rFonts w:cs="FrankRuehl" w:ascii="Arial" w:hAnsi="Arial"/>
          <w:szCs w:val="28"/>
        </w:rPr>
        <w:t>2.4.2015</w:t>
      </w:r>
      <w:r>
        <w:rPr>
          <w:rFonts w:cs="FrankRuehl" w:ascii="Arial" w:hAnsi="Arial"/>
          <w:szCs w:val="28"/>
          <w:rtl w:val="true"/>
        </w:rPr>
        <w:t>)).</w:t>
      </w:r>
    </w:p>
    <w:p>
      <w:pPr>
        <w:pStyle w:val="Normal"/>
        <w:spacing w:lineRule="auto" w:line="360" w:before="120" w:after="240"/>
        <w:ind w:start="708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42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firstLine="708" w:end="0"/>
        <w:contextualSpacing/>
        <w:jc w:val="start"/>
        <w:rPr>
          <w:rFonts w:ascii="Arial" w:hAnsi="Arial"/>
        </w:rPr>
      </w:pPr>
      <w:r>
        <w:rPr>
          <w:rFonts w:ascii="Arial" w:hAnsi="Arial" w:cs="Miriam"/>
          <w:rtl w:val="true"/>
        </w:rPr>
        <w:t>האירוע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 xml:space="preserve">- </w:t>
      </w:r>
      <w:r>
        <w:rPr>
          <w:rFonts w:ascii="Arial" w:hAnsi="Arial" w:cs="Miriam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עובדות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סמוך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בקוטר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5.56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בודד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צייד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רשות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FrankRuehl" w:ascii="Arial" w:hAnsi="Aria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הערכים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המוגנים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שנפגעו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ביטחון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ושלומו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נפגעו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קלה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/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ראש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תחמושת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ומיותר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להזכיר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לנשק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ערך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התחמושת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ופוטנציאל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הטמון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רב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מאחר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ועבירה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עומדת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והיא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קלה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בהתחשב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האחרות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אקבע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ממאסר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על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תנאי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ועד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מאסר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בפועל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שיכול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להיות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בעבודות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שירות</w:t>
      </w:r>
      <w:r>
        <w:rPr>
          <w:rFonts w:cs="FrankRuehl" w:ascii="Arial" w:hAnsi="Arial"/>
          <w:szCs w:val="28"/>
          <w:u w:val="single"/>
          <w:rtl w:val="true"/>
        </w:rPr>
        <w:t>.</w:t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 w:before="0" w:after="120"/>
        <w:ind w:firstLine="720" w:end="0"/>
        <w:contextualSpacing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Miriam"/>
          <w:rtl w:val="true"/>
        </w:rPr>
        <w:t>האירוע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השלישי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 xml:space="preserve">- </w:t>
      </w:r>
      <w:r>
        <w:rPr>
          <w:rFonts w:ascii="Arial" w:hAnsi="Arial" w:cs="Miriam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עובדות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שצורף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שבוע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לפני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שנמצאה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אצל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התחמושת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</w:rPr>
        <w:t>24.1.2017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נמצא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בביתו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מאולתר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קרל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גוסטב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שהייתה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רשות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להחזיקו</w:t>
      </w:r>
      <w:r>
        <w:rPr>
          <w:rFonts w:cs="FrankRuehl" w:ascii="Arial" w:hAnsi="Aria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נפגעו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בינונית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ערכים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מוגנים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בביטחון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ושלומו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המדיניות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המוזכרת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שדנים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בהחזקה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קביעת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המדיניות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הראויה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הסניגור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הפנה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3622-10-13</w:t>
        </w:r>
      </w:hyperlink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  </w:t>
      </w:r>
      <w:r>
        <w:rPr>
          <w:rFonts w:ascii="Arial" w:hAnsi="Arial" w:cs="Miriam"/>
          <w:rtl w:val="true"/>
        </w:rPr>
        <w:t>עמאש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" w:hAnsi="Arial"/>
          <w:color w:val="000000"/>
          <w:sz w:val="28"/>
          <w:szCs w:val="28"/>
          <w:rtl w:val="true"/>
        </w:rPr>
        <w:t>(</w:t>
      </w:r>
      <w:r>
        <w:rPr>
          <w:rFonts w:cs="FrankRuehl" w:ascii="Arial" w:hAnsi="Arial"/>
          <w:color w:val="000000"/>
          <w:sz w:val="28"/>
          <w:szCs w:val="28"/>
        </w:rPr>
        <w:t>5.5.2015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) 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שנדון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בפניי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קבעתי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</w:rPr>
        <w:t>8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color w:val="000000"/>
          <w:sz w:val="28"/>
          <w:szCs w:val="28"/>
          <w:rtl w:val="true"/>
        </w:rPr>
        <w:t>-</w:t>
      </w:r>
      <w:r>
        <w:rPr>
          <w:rFonts w:cs="FrankRuehl" w:ascii="Arial" w:hAnsi="Arial"/>
          <w:color w:val="000000"/>
          <w:sz w:val="28"/>
          <w:szCs w:val="28"/>
        </w:rPr>
        <w:t>24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נשיאה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והובלה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דמוי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קארל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גוסטב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(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קביעת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חרגתי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מהמתחם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משיקולי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שיקום</w:t>
      </w:r>
      <w:r>
        <w:rPr>
          <w:rFonts w:cs="FrankRuehl" w:ascii="Arial" w:hAnsi="Aria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spacing w:lineRule="auto" w:line="360"/>
        <w:ind w:end="142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 w:before="120" w:after="120"/>
        <w:ind w:start="720" w:end="142"/>
        <w:contextualSpacing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hyperlink r:id="rId27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בעובדות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שצורף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פרטים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לעצם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ההחזקה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overflowPunct w:val="false"/>
        <w:spacing w:lineRule="auto" w:line="360" w:before="120" w:after="120"/>
        <w:ind w:firstLine="778" w:start="-58" w:end="142"/>
        <w:contextualSpacing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overflowPunct w:val="false"/>
        <w:spacing w:lineRule="auto" w:line="360" w:before="120" w:after="120"/>
        <w:ind w:start="720" w:end="142"/>
        <w:contextualSpacing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24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Miriam"/>
          <w:szCs w:val="28"/>
          <w:u w:val="single"/>
        </w:rPr>
      </w:pPr>
      <w:r>
        <w:rPr>
          <w:rFonts w:cs="Miriam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המתאים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Guttman Yad-Brush"/>
          <w:szCs w:val="28"/>
        </w:rPr>
      </w:pP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8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יג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החלטתי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האירועים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עומדת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גילה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ספקנות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ליכולתו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לבסס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הליכי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טיפולית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חשוב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מטיעוני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ומתוכנו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בחור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23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ומתפקד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בצורה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נורמטיבית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ומאורס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לשקול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לקולא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בהזדמנות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120" w:after="12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מצד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להתעלם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מהשילוב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במודע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ונשיאה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זמנית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פעמית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בחודש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דצמבר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2016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צייד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הסיע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לברטעה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הסיע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לעכברה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ראה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ומוכרו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זר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בחלוף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כחודש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תחמושת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בחלוף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שילוב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ארועים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המצביעה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סטיה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המחייבת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הרתעה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והרתעת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הרבים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יביא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להרתעת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והרתעת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הרבים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בטרם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סיום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באיזוק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אלקטרוני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26.3.2017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18.10.2017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תנוכה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אך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7768/15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20.4.2016</w:t>
      </w:r>
      <w:r>
        <w:rPr>
          <w:rFonts w:cs="FrankRuehl" w:ascii="Arial" w:hAnsi="Arial"/>
          <w:szCs w:val="28"/>
          <w:rtl w:val="true"/>
        </w:rPr>
        <w:t>);</w:t>
      </w:r>
      <w:r>
        <w:rPr>
          <w:rFonts w:cs="FrankRuehl" w:ascii="Arial" w:hAnsi="Arial"/>
          <w:szCs w:val="28"/>
          <w:rtl w:val="true"/>
        </w:rPr>
        <w:t xml:space="preserve"> </w:t>
      </w:r>
      <w:hyperlink r:id="rId3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8547/15</w:t>
        </w:r>
      </w:hyperlink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מחאג</w:t>
      </w:r>
      <w:r>
        <w:rPr>
          <w:rFonts w:cs="Miriam" w:ascii="Arial" w:hAnsi="Arial"/>
          <w:rtl w:val="true"/>
        </w:rPr>
        <w:t>'</w:t>
      </w:r>
      <w:r>
        <w:rPr>
          <w:rFonts w:ascii="Arial" w:hAnsi="Arial" w:cs="Miriam"/>
          <w:rtl w:val="true"/>
        </w:rPr>
        <w:t>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5.6.2016</w:t>
      </w:r>
      <w:r>
        <w:rPr>
          <w:rFonts w:cs="FrankRuehl" w:ascii="Arial" w:hAnsi="Arial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  <w:szCs w:val="28"/>
        </w:rPr>
      </w:pPr>
      <w:r>
        <w:rPr>
          <w:rFonts w:cs="Miriam" w:ascii="Arial" w:hAnsi="Arial"/>
          <w:szCs w:val="28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סיכום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הבאים</w:t>
      </w:r>
      <w:r>
        <w:rPr>
          <w:rFonts w:cs="FrankRuehl" w:ascii="Arial" w:hAnsi="Arial"/>
          <w:szCs w:val="28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u w:val="single"/>
        </w:rPr>
        <w:t>2</w:t>
      </w:r>
      <w:r>
        <w:rPr>
          <w:rFonts w:cs="FrankRuehl" w:ascii="Arial" w:hAnsi="Arial"/>
          <w:szCs w:val="28"/>
          <w:u w:val="single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תנוכה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31.1.2017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26.3.2017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26.12.2017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Times New Roman"/>
          <w:sz w:val="26"/>
          <w:szCs w:val="26"/>
        </w:rPr>
      </w:pPr>
      <w:r>
        <w:rPr>
          <w:rFonts w:cs="FrankRuehl" w:ascii="Arial" w:hAnsi="Arial"/>
          <w:szCs w:val="28"/>
          <w:u w:val="single"/>
        </w:rPr>
        <w:t>12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אלא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אם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יעבור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שלוש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שנים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 </w:t>
      </w:r>
      <w:r>
        <w:rPr>
          <w:rFonts w:ascii="Arial" w:hAnsi="Arial" w:cs="Times New Roman"/>
          <w:sz w:val="26"/>
          <w:sz w:val="26"/>
          <w:szCs w:val="26"/>
          <w:rtl w:val="true"/>
        </w:rPr>
        <w:t>עבירה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פשע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ויורשע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בשל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עבירה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כזאת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תקופת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התנאי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לאחריה</w:t>
      </w:r>
      <w:r>
        <w:rPr>
          <w:rFonts w:cs="Times New Roman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Times New Roman"/>
          <w:sz w:val="26"/>
          <w:szCs w:val="26"/>
        </w:rPr>
      </w:pPr>
      <w:r>
        <w:rPr>
          <w:rFonts w:cs="FrankRuehl" w:ascii="Arial" w:hAnsi="Arial"/>
          <w:szCs w:val="28"/>
          <w:u w:val="single"/>
        </w:rPr>
        <w:t>4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אלא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אם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יעבור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שלוש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שנים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 </w:t>
      </w:r>
      <w:r>
        <w:rPr>
          <w:rFonts w:ascii="Arial" w:hAnsi="Arial" w:cs="Times New Roman"/>
          <w:sz w:val="26"/>
          <w:sz w:val="26"/>
          <w:szCs w:val="26"/>
          <w:rtl w:val="true"/>
        </w:rPr>
        <w:t>עבירה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בנשק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שהיא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עוון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עבירה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חוק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הכניסה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לארץ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ישראל</w:t>
      </w:r>
      <w:r>
        <w:rPr>
          <w:rFonts w:cs="Times New Roman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Times New Roman"/>
          <w:sz w:val="26"/>
          <w:sz w:val="26"/>
          <w:szCs w:val="26"/>
          <w:rtl w:val="true"/>
        </w:rPr>
        <w:t>תש</w:t>
      </w:r>
      <w:r>
        <w:rPr>
          <w:rFonts w:cs="Times New Roman" w:ascii="Arial" w:hAnsi="Arial"/>
          <w:sz w:val="26"/>
          <w:szCs w:val="26"/>
          <w:rtl w:val="true"/>
        </w:rPr>
        <w:t>"</w:t>
      </w:r>
      <w:r>
        <w:rPr>
          <w:rFonts w:ascii="Arial" w:hAnsi="Arial" w:cs="Times New Roman"/>
          <w:sz w:val="26"/>
          <w:sz w:val="26"/>
          <w:szCs w:val="26"/>
          <w:rtl w:val="true"/>
        </w:rPr>
        <w:t>יב</w:t>
      </w:r>
      <w:r>
        <w:rPr>
          <w:rFonts w:cs="Times New Roman" w:ascii="Arial" w:hAnsi="Arial"/>
          <w:sz w:val="26"/>
          <w:szCs w:val="26"/>
          <w:rtl w:val="true"/>
        </w:rPr>
        <w:t>-</w:t>
      </w:r>
      <w:r>
        <w:rPr>
          <w:rFonts w:cs="Times New Roman" w:ascii="Arial" w:hAnsi="Arial"/>
          <w:sz w:val="26"/>
          <w:szCs w:val="26"/>
        </w:rPr>
        <w:t>1952</w:t>
      </w:r>
      <w:r>
        <w:rPr>
          <w:rFonts w:cs="Times New Roman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ויורשע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בשל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עבירה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כזאת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תוך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תקופת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התנאי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Times New Roman"/>
          <w:sz w:val="26"/>
          <w:sz w:val="26"/>
          <w:szCs w:val="26"/>
          <w:rtl w:val="true"/>
        </w:rPr>
        <w:t>לאחריה</w:t>
      </w:r>
      <w:r>
        <w:rPr>
          <w:rFonts w:cs="Times New Roman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  <w:r>
        <w:rPr>
          <w:rFonts w:ascii="Arial" w:hAnsi="Arial" w:cs="FrankRuehl"/>
          <w:szCs w:val="28"/>
          <w:rtl w:val="true"/>
        </w:rPr>
        <w:t>הובהרה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זכות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ascii="Arial" w:hAnsi="Arial" w:cs="FrankRuehl"/>
          <w:szCs w:val="28"/>
          <w:rtl w:val="true"/>
        </w:rPr>
        <w:t>ערעור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שגב אדלר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מומחד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בארין בויראת והנאשם באמצעות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51038-02-17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עדאי כבהה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0jc.b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90721/12a.c.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90721/12a.c.1" TargetMode="External"/><Relationship Id="rId14" Type="http://schemas.openxmlformats.org/officeDocument/2006/relationships/hyperlink" Target="http://www.nevo.co.il/case/23519097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case/6248029" TargetMode="External"/><Relationship Id="rId18" Type="http://schemas.openxmlformats.org/officeDocument/2006/relationships/hyperlink" Target="http://www.nevo.co.il/law/70301/40b" TargetMode="External"/><Relationship Id="rId19" Type="http://schemas.openxmlformats.org/officeDocument/2006/relationships/hyperlink" Target="http://www.nevo.co.il/case/20832658" TargetMode="External"/><Relationship Id="rId20" Type="http://schemas.openxmlformats.org/officeDocument/2006/relationships/hyperlink" Target="http://www.nevo.co.il/case/20217668" TargetMode="External"/><Relationship Id="rId21" Type="http://schemas.openxmlformats.org/officeDocument/2006/relationships/hyperlink" Target="http://www.nevo.co.il/case/21771409" TargetMode="External"/><Relationship Id="rId22" Type="http://schemas.openxmlformats.org/officeDocument/2006/relationships/hyperlink" Target="http://www.nevo.co.il/case/22791136" TargetMode="External"/><Relationship Id="rId23" Type="http://schemas.openxmlformats.org/officeDocument/2006/relationships/hyperlink" Target="http://www.nevo.co.il/case/22317462" TargetMode="External"/><Relationship Id="rId24" Type="http://schemas.openxmlformats.org/officeDocument/2006/relationships/hyperlink" Target="http://www.nevo.co.il/case/22006503" TargetMode="External"/><Relationship Id="rId25" Type="http://schemas.openxmlformats.org/officeDocument/2006/relationships/hyperlink" Target="http://www.nevo.co.il/case/20003034" TargetMode="External"/><Relationship Id="rId26" Type="http://schemas.openxmlformats.org/officeDocument/2006/relationships/hyperlink" Target="http://www.nevo.co.il/case/8253344" TargetMode="External"/><Relationship Id="rId27" Type="http://schemas.openxmlformats.org/officeDocument/2006/relationships/hyperlink" Target="http://www.nevo.co.il/law/70301/40i" TargetMode="External"/><Relationship Id="rId28" Type="http://schemas.openxmlformats.org/officeDocument/2006/relationships/hyperlink" Target="http://www.nevo.co.il/law/70301/40jc.b" TargetMode="External"/><Relationship Id="rId29" Type="http://schemas.openxmlformats.org/officeDocument/2006/relationships/hyperlink" Target="http://www.nevo.co.il/case/20832660" TargetMode="External"/><Relationship Id="rId30" Type="http://schemas.openxmlformats.org/officeDocument/2006/relationships/hyperlink" Target="http://www.nevo.co.il/case/20791756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2018-03-17T16:18:00Z</dcterms:created>
  <dc:creator> </dc:creator>
  <dc:description/>
  <cp:keywords/>
  <dc:language>en-IL</dc:language>
  <cp:lastModifiedBy>orly</cp:lastModifiedBy>
  <dcterms:modified xsi:type="dcterms:W3CDTF">2018-03-17T16:18:00Z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עדאי כבהה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23519097;6248029;20832658;20217668;21771409;22791136;22317462;22006503;20003034;8253344;20832660;20791756</vt:lpwstr>
  </property>
  <property fmtid="{D5CDD505-2E9C-101B-9397-08002B2CF9AE}" pid="9" name="CITY">
    <vt:lpwstr>חי'</vt:lpwstr>
  </property>
  <property fmtid="{D5CDD505-2E9C-101B-9397-08002B2CF9AE}" pid="10" name="DATE">
    <vt:lpwstr>20180307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70301/144.a:2;144.b;040b;040i;40jc.b</vt:lpwstr>
  </property>
  <property fmtid="{D5CDD505-2E9C-101B-9397-08002B2CF9AE}" pid="15" name="LAWLISTTMP2">
    <vt:lpwstr>90721/012a.c.1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עומרי</vt:lpwstr>
  </property>
  <property fmtid="{D5CDD505-2E9C-101B-9397-08002B2CF9AE}" pid="23" name="NEWPARTA">
    <vt:lpwstr>51038</vt:lpwstr>
  </property>
  <property fmtid="{D5CDD505-2E9C-101B-9397-08002B2CF9AE}" pid="24" name="NEWPARTB">
    <vt:lpwstr>02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</vt:lpwstr>
  </property>
  <property fmtid="{D5CDD505-2E9C-101B-9397-08002B2CF9AE}" pid="60" name="PADIDATE">
    <vt:lpwstr>20180318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390120180307</vt:lpwstr>
  </property>
  <property fmtid="{D5CDD505-2E9C-101B-9397-08002B2CF9AE}" pid="70" name="TYPE_N_DATE">
    <vt:lpwstr>39020180307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