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51145-02-15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רננה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טויטו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הובא </w:t>
            </w:r>
            <w:r>
              <w:rPr>
                <w:rFonts w:ascii="Arial" w:hAnsi="Arial" w:cs="Arial"/>
                <w:rtl w:val="true"/>
              </w:rPr>
              <w:t>וע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גיורא זילברשטיין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  <w:r>
              <w:rPr>
                <w:rtl w:val="true"/>
              </w:rPr>
              <w:br/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  <w:r>
          <w:rPr>
            <w:rStyle w:val="Hyperlink"/>
            <w:rFonts w:cs="FrankRuehl" w:ascii="FrankRuehl" w:hAnsi="FrankRuehl"/>
            <w:rtl w:val="true"/>
          </w:rPr>
          <w:t>+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186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25</w:t>
        </w:r>
        <w:r>
          <w:rPr>
            <w:rStyle w:val="Hyperlink"/>
            <w:rFonts w:cs="Calibri" w:ascii="Calibri" w:hAnsi="Calibri"/>
            <w:rtl w:val="true"/>
          </w:rPr>
          <w:t>+</w:t>
        </w:r>
      </w:hyperlink>
      <w:r>
        <w:rPr>
          <w:rFonts w:cs="Calibri" w:ascii="Calibri" w:hAnsi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6">
        <w:r>
          <w:rPr>
            <w:rStyle w:val="Hyperlink"/>
            <w:rFonts w:cs="Calibri" w:ascii="Calibri" w:hAnsi="Calibri"/>
          </w:rPr>
          <w:t>335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הגירושין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"].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bookmarkStart w:id="9" w:name="ABSTRACT_END"/>
      <w:bookmarkEnd w:id="9"/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תעצור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לרהיט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שריקי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כמגשר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מועמאר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מיוזמתו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הפיסי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מבשרו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מולידו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זהירותו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1293/08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קורניק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25.6.2008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קובעת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מספר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נושא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: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1880/14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19.11.2004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מולידו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 xml:space="preserve">(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18.7.13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2.12.14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מועצמת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28139-10-13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18.1.15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1244/15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באסל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18.4.16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נחישות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להתמודד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ובפרט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cs="Calibri" w:ascii="Calibri" w:hAnsi="Calibri"/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המנויות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יא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רצדיביסט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המכובדים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כשהתחשבתי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בגין העבירות נושא גזר דין 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20782-06-09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9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1948/08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13.3.12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כך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שסך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ירצה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72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מעצרו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15.2.15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1948/08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13.3.12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1.9.16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51145-02-15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60067" TargetMode="External"/><Relationship Id="rId19" Type="http://schemas.openxmlformats.org/officeDocument/2006/relationships/hyperlink" Target="http://www.nevo.co.il/case/18653904" TargetMode="External"/><Relationship Id="rId20" Type="http://schemas.openxmlformats.org/officeDocument/2006/relationships/hyperlink" Target="http://www.nevo.co.il/case/6950458" TargetMode="External"/><Relationship Id="rId21" Type="http://schemas.openxmlformats.org/officeDocument/2006/relationships/hyperlink" Target="http://www.nevo.co.il/case/17948201" TargetMode="External"/><Relationship Id="rId22" Type="http://schemas.openxmlformats.org/officeDocument/2006/relationships/hyperlink" Target="http://www.nevo.co.il/case/8437593" TargetMode="External"/><Relationship Id="rId23" Type="http://schemas.openxmlformats.org/officeDocument/2006/relationships/hyperlink" Target="http://www.nevo.co.il/case/20033653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4277163" TargetMode="External"/><Relationship Id="rId27" Type="http://schemas.openxmlformats.org/officeDocument/2006/relationships/hyperlink" Target="http://www.nevo.co.il/law/70301/18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2017-01-10T13:50:00Z</dcterms:created>
  <dc:creator> </dc:creator>
  <dc:description/>
  <cp:keywords/>
  <dc:language>en-IL</dc:language>
  <cp:lastModifiedBy>Tali-a</cp:lastModifiedBy>
  <dcterms:modified xsi:type="dcterms:W3CDTF">2017-01-10T13:50:00Z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ProcID=209&amp;PartA=1948&amp;PartC=08</vt:lpwstr>
  </property>
  <property fmtid="{D5CDD505-2E9C-101B-9397-08002B2CF9AE}" pid="9" name="CASESLISTTMP1">
    <vt:lpwstr>5760067;18653904;6950458;17948201;8437593;20033653;4277163</vt:lpwstr>
  </property>
  <property fmtid="{D5CDD505-2E9C-101B-9397-08002B2CF9AE}" pid="10" name="CITY">
    <vt:lpwstr>מרכז</vt:lpwstr>
  </property>
  <property fmtid="{D5CDD505-2E9C-101B-9397-08002B2CF9AE}" pid="11" name="DATE">
    <vt:lpwstr>20160503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דנה מרשק מרום</vt:lpwstr>
  </property>
  <property fmtid="{D5CDD505-2E9C-101B-9397-08002B2CF9AE}" pid="15" name="LAWLISTTMP1">
    <vt:lpwstr>70301/192;186:2;144.b;025;333;335.a.1;40ja</vt:lpwstr>
  </property>
  <property fmtid="{D5CDD505-2E9C-101B-9397-08002B2CF9AE}" pid="16" name="LAWYER">
    <vt:lpwstr>רננה טויטו משה;גיורא זילברשטיין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51145</vt:lpwstr>
  </property>
  <property fmtid="{D5CDD505-2E9C-101B-9397-08002B2CF9AE}" pid="23" name="NEWPARTB">
    <vt:lpwstr>02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390020160503</vt:lpwstr>
  </property>
  <property fmtid="{D5CDD505-2E9C-101B-9397-08002B2CF9AE}" pid="35" name="TYPE_N_DATE">
    <vt:lpwstr>39020160503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