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51170-10-23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עיאט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ע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"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 xml:space="preserve">י פרקליטות מחוז חיפה 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עבדללה עיאט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ע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"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י ב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"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 xml:space="preserve">כ 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עו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ה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"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ד שני מורן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 xml:space="preserve"> ואח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וכן הפרעה לשוטר בשעת מילוי תפקידו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הושג בשלביו המוקדמים של ההליך המשפטי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החלה שמיעת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הראוי כי ייגזר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טענו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יופנה לשירות המבחן לצורך קבלת תסקיר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כפי שעולה מכתב האישום המתוקן 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18.10.2023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הנאשם בכביש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למחלף באקה אל גרביה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המחלף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ברכב מסוג סקודה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תוך שהוא נושא ומוביל ברכב נשק דמוי רובה סער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מפורק לשני חלקים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וכן שתי מחסניות תואמות לרובה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המחסניות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טעונות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כל אחת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הכדורים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הרובה הינו כלי שסוגל לירות כדור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המחסניות הינן אבזרים של נשק והכדורים הינם 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 שנסעו בניידת בכביש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הבחינו בנאשם כשהוא נוהג ברכב ומשתלב בנסיעה מכביש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לכביש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 למחלף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מתן זכות קדימה לניידת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שבמקום מוצב תמרור המחייב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החלו בנסיעה בעקבות הרכב והורו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הנאשם החל להימלט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לא נענה לקריאת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בלימות פתע 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האיץ את מהירות נסיעתו והמשיך בנסיעה מהירה במטרה להימלט מפני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 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השוטרים עקפו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חסמו אותו והנאשם נעצר כשהנשק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הנאשם בכוונה להפריע לשוטרים כשהם ממלאים את תפקידם כחוק או להכשילם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תסקיר שירות 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בתסקיר שערך שירות המבחן על אודות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להחלטתי וכפי שסיכמו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פורט רקעו האישי והמשפחתי של נאשם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23.5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מעצרו התגורר בבית הוריו בבקה אל גרביה ועבד בשמירה באזור נתניה יחד עם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והנאשם הינו הצעיר בסדר הילודה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נשר מבית הספר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בשל המצב הכלכלי הקשה של משפחתו והצורך לעבוד ולעזור בפרנסתה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שוהה במעצר מזה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וכי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תיאר חוויית מעצר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מצליח להתמודד עם התנאים הקשים בהם נמצא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שלל שימוש בסמים או צריכת אלכוהול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הודה בפני שירות המבחן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לפי שירות המבחן הוא נטה למזער מחומרת מעשיו ונקט עמדה השלכתית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כי התבקש להעביר את הרכב על ידי קרוב משפחה וכי אף שבהתחלה סירב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הסכים בהמשך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בשל לחץ שהופעל עליו מהסובבים אותו ומתוך רצון לעמוד בציפיות החברתיות שנקבעו עבורו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קיבל כל תמורה עבור העברת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שידע על קיומו של הנשק ברכב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בהערכת הסיכון לעבריינות והסיכוי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נשקלה חומרת העבירה והסביבה אליה חשוף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התייחסותו של הנאשם למעשים שביצע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מתקשה לעשות חשיבה ביקורתית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מצעיר נטול עבר פלילי ומניסיונו להשתלב בשוק העבודה ולקחת חלק בכלכלת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שירות המבחן כי קיים סיכון משמעותי להישנות עבירות דומות בעתיד ולכן לא היה בידם לבוא בהמלצה שיקומית במסגרת שירות המבחן עבור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המלצה לחלופת ענישה בקהילה אשר תוכל להפחית את הסיכון הנשקף ממנו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המאשימה גם טיעון כתוב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בדרך כלל עבירות אלימות באמצעות נשק לא היו מתבצעות אלמלא הייתה קיימת התופעה של החזקה בנשק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והובלתו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הפכה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למכת מדינה של ממש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שמחייבת להילחם בה באמצעות ענישה מחמירה והעברת מסר תקיף לנאשמים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כשאין מקום לאכיפה סלחנית מצד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עמדה על מגמת ההחמרה בענישה בשנים האחרונות כל אימת שמדובר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ציינה את הנחיית פרקליט המדינה לעניין מתחמי עונש המוצא בגין נשיאה והובלה של רובה ותחמושת וציינה את העונש המזערי שנקבע בתיקון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הורשע גם בעבירה של הפרעה לשוטר במילוי תפקידו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ציינה את התכנון שקדם לביצוע העבירה כאשר הנאשם החזיק בנשק ברכב כשהוא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מוכן לפעולה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ועשה הכל על מנת שלא להיתפס ולהיעצר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כי הנשק היה מפורק מעידה על רצונו של הנאשם להסליק את הנשק ואולי אפילו להעבירו לאדם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היחסי של הנאשם כמבצע יחיד הוא 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ציינה גם את הנזק הצפוי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עלול להיגרם בגין מעשי הנאשם וכן עמדה על שיקול הרתעת הרבים כשעסקינן בעבירות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ולרבות שיקולי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לקביעת מתחם עונש הולם הנע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לסיכון המשמעותי להישנות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כך כי שירות המבחן לא בא בהמלצה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נטול הרשעות קודמות והודה מבלי שנשמעו ראיות ובכך חסך זמן שיפוטי יקר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בהינתן 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להשית על הנאשם ענישה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בתוך המתחם בשליש התחתון משיקולי הרתעה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עתרה המאשימה לענישה נלווית בדמות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נהיגה בפועל ועל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וחילוט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בעניין אחרון זה של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במאמר מוסגר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התקיים בפניי דיון נוסף בו שמעתי את טיעוני הצדדים בעניין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גם נחקר מי שטוען לזכות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מר אחמד אבו מוסא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הבעלים הרשום של הרכב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הטוען לזכות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לאחר שהוגשה בקשה על ידי הטוען לזכות בעניין 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והצדדים עתרו לכך כי אף הדיון בבקשה יישמע 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בתום הדיון ציינתי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החלטה בעניין החילוט תינתן במסגרת גזר דין</w:t>
      </w:r>
      <w:r>
        <w:rPr>
          <w:rFonts w:ascii="David" w:hAnsi="David"/>
          <w:rtl w:val="true"/>
        </w:rPr>
        <w:t xml:space="preserve">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טיעוני הצדדים בנוגע לחילוט הרכב יפורטו להלן בפרק נפרד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בפתח טיעוניה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הסנגורית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כל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זו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]</w:t>
      </w:r>
      <w:r>
        <w:rPr>
          <w:rFonts w:ascii="David" w:hAnsi="David"/>
          <w:rtl w:val="true"/>
        </w:rPr>
        <w:t>הסתבכות ראשונה שלו מכל סוג שהוא עם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עצור לראשונה בחייו מזה מספר חודשים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היא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מאז המלחמה תנאי המעצר הפכו קשים יותר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הנאשם הודה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 יקר ונטל אחריות מלאה למעשים שלו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הסנגורית הפנתה לתסקיר שירות המבחן ולנסיבות האישיות והמשפחתיות שפורטו בו בהרחבה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למצב הכלכלי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המורכב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שבגללו הנאשם נשר מלימודים על מנת לסייע בפרנסת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הסנגורית הדגישה את העובדה כי הנאשם שיתף את שירות המבחן בכך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במשך כשנה הוא נטל תרופה שמסייעת לו להירדם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הרגיש שהוא ממש התמכר לתרופה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ובאקט של אחריות עצמית הוא נכנס למוסד גמילה ביפו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טיפול פרטני וטיפול קבוצתי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הייתה שם מעורבות כלשהי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עשה את זה באופן עצמאי ומיוזמה האישית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אחרי שהוא הבין וראה שהדבר הזה משפיע עליו מאוד לרעה ומאז מדובר בהליך שהוא עבר לפני כשנתיים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הוא חדל את השימוש באותה תרופה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התנהל באופן נורמטיבי לחלוטין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עם אביו מספר חודשים בשמירה בפנימייה בנתניה היכן שאביו עובד שנים ארוכות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ועם שחרורו מהמאסר הוא צפוי לחזור לעבוד עם אביו באותו מקום 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שמוכן לקבל בחזרה את הנאשם על מנת לשקם אותו ולסייע לו לחזור למסלול החיים הרגיל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ההתייחסות של שירות המבחן לגבי הסיכוי לשיקום והסיכון לעבריינות חוזרת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שירות המבחן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למעשה שמע מהנאשם אודות נסיבות ביצוע העבירה כפי שהנאשם בכנות מבחינתו זה מה שקרה וזה מה שהיה ובחר לשתף באופן אותנטי את שירות המבחן ואיך האירוע הזה 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הדברים האלה לא באים לידי ביטוי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העובדה שהנאשם אומר בצורה מפורשת וברורה לשירות המבחן שהוא ידע שקיים נשק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חלילה ניסה להתנער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ניסה להפחית מהמודעות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ממידת אחריותו </w:t>
      </w:r>
      <w:r>
        <w:rPr>
          <w:rFonts w:cs="David" w:ascii="David" w:hAnsi="David"/>
          <w:rtl w:val="true"/>
        </w:rPr>
        <w:t xml:space="preserve">...".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למתחם העונש לו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הסנגורית כי לדידה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הוא מתחם מחמיר מאוד שלא הולם למתחמים שנקבעו בפסיקה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היא הפנתה לפסיקה שיש בה כדי לשקף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הראויה 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הופתעה מהעתירה העונשית המחמירה של המאשימה שבתיקים דומים הסכימה לענישה נמוכה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לפסיקה אליה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הסנגורית כי עונשו של הנאשם צריך להיות נמוך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בפסיקה דומה שהיא הפנתה אליה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המתחמים שנקבעו התחילו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ציינה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שמעבר לעתירה המחמירה למתחם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העתירה להשתת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עונש בשליש התחתון ולא ברף התחתון זה למעשה כפל החמרה גם גם מבקשים לקבוע פה מתחם שהוא יחסית מחמיר בעבירות דומות וגם לא ממקמים את הנאשם בתחתית 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חייבת לומר שבהיבט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מיקום הנאשם בתחתית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לא סבורה שיש נאשם שמתאים מהנאשם כאן להיות ממוקם בתחתית המתחם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לעתירה להשית על הנאשם גם עונש של פסילת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להימנע מרכיב של 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מדובר כאמור במי שאין לו שום עבר פלילי והעבירה שנגעה לנהיגה תוקנה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שאמרתי עם שחרורו הוא צפוי לחזור לעבוד בנתניה בשמירה וכמובן שרישיון הנהיגה שלו חשוב לו מאוד וזה חלק מהשיקום שלו כדי שהוא יוכל להתפרנס בכבוד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העתירה לחילוט הרכב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בעניין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לטיעוני הצדדים שהושמעו במסגרת הדיון שיוחד לטיעונים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קיימתי בפניי דיון נוסף בו נטל חלק מר אחמד אבו מוסא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הטוען לזכות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נחקר על תצהירו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בטיעוניה בדנן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הנאשם הודה בנסיבות לפיהן מתקיים מבחן הקשר ההדוק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הוא המבחן שנקבע בפסיקה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כאשר נשאלת השאלה מה היא הזיקה בין ביצוע העבירות לבין הכלי אותו מבקשת המאשימה לחלט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נראה כי לא יכול להיות ספק שבעצם שני המעשים הן ההימלטות מהשוטרים והן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מתקיימות בקשר הדוק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ובענייננו הזיקה היא מובהקת לטעמנו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יש לחלט את הרכב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בדיון הנוסף שנערך בעניין זה הוסיפה המאשימה וטענה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פי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חשיבות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 הבעלים הפורמלים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חשוב מי נהג ברכב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חקירתו של הטוען לזכות והסתירות בין עדותו בבית המשפט לבין התצהיר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ומשכלל לא היה בארץ ביום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בפנינו אינדיקציה ברורה כי הרכב היה נתון לשימושו של אחר 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הרכב היה מופקר לשימושו של 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אחת כמה וכמה כאשר הנאשם לא הצליח לנקוב בשמו של הבעלים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ניתנה לו לכך הזדמנות במשטרה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בטיעוניו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התייחס למבחן הזיקה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אבל לא התייחס לעובדה מוגמרת ופשוטה הרכב לא רשום על שמו של הנאשם אלא על שמו של אחר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בעל הרכב לא נחקר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היחידה החוקרת לא איתרה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כן איתרה אותו היה איזשהו קושי לגביו והוא לא נחקר ולא מסרו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לא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לא נמסרה שום גרסה בעניינו ולכן לעניין הרכב אני סבורה שראשית כל מקום בו הבעלות ברכב היא של אחר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ואנחנו עותרים שלא להורות על חילוט הרכב מן הטעם שהנאשם אינו הבעלים שלו לגופו של עניין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בדיון הנוסף שהתקיים לפניי בעניין החילוט הוסיפה ההגנה וטענה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הוכח שהרכב אינו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אמר מפורשות שקיבל אותו מאחר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 כוחו של הטוען לזכות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הלין על כך שמרשו לא זומן לחקירה על אף שהוא שהה בארץ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המשטרה בחרה אף שלא לחקור את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טען הנאשם במשטרה כי לקח את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אומר כבר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שנתתי דעתי לטיעוני הצדדים בעניין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עתירתו של הטוען לזכות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להתרשמותי מחקירתו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להורות על 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העובדה שאינה שנויה במחלוקת ולפיה העבירות שביצע הנאשם נעשו באמצעות הרכב אשר שימש רכיב מהותי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בעובדה כי הטוען לזכות הוא הבעלים הרשום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הבעלים הפורמליים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 הרכב כדי למנוע את חילוטו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מהותה ועוצמתה של הזיקה בין הנשק ועבירת ההפרעה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זיקה משמעותית ומהותית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מהדיון לפניי ובשים לב לסתירות בגרסאות של הטוען לזכות ולגרסאות שמסר הנאשם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להיווכח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הגיע לידי הנאשם על מנת שינהג בו מנהג בעלים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שהזיקה בין הנאשם לבין הרכב מצדיקה אף היא את החילוט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בבקשה שהגיש הטוען לזכות הוא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ברחל בתך הקטנה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b/>
          <w:b/>
          <w:bCs/>
          <w:rtl w:val="true"/>
        </w:rPr>
        <w:t xml:space="preserve">מכר את הרכב לנאשם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לטענתו מבלי שקיבל עדיין את מלוא התמורה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בחקירתו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הובהר שבזמן הרלוונטי למועד המכירה שהה הטוען לזכות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ומי שמסר את הרכב לטענתו היה דודו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הדוד לא הובא לעדות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כך או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הטוען לזכות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הגיע לידי הנאשם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קיבל את הרכב בתמורה לחוב בגין עבודה שביצע אצל 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לפי גרסה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הרכב נמסר לנאשם לשימושו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הוא התכוון לטענתו למכור אותו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וגם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כדי להצביע על הזיקה בינו לבין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היה </w:t>
      </w:r>
      <w:r>
        <w:rPr>
          <w:rFonts w:ascii="David" w:hAnsi="David"/>
          <w:rtl w:val="true"/>
        </w:rPr>
        <w:t>לצפות כי הטוען לזכות</w:t>
      </w:r>
      <w:r>
        <w:rPr>
          <w:rFonts w:ascii="David" w:hAnsi="David"/>
          <w:rtl w:val="true"/>
        </w:rPr>
        <w:t xml:space="preserve"> ייחקר קודם לכן במשטרה על מנת ש</w:t>
      </w:r>
      <w:r>
        <w:rPr>
          <w:rFonts w:ascii="David" w:hAnsi="David"/>
          <w:rtl w:val="true"/>
        </w:rPr>
        <w:t>יציג את הסכם המכר של הרכב שנערך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אותו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עוויסאת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שהנאשם מסר את שמו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הטוען לזכות לרפא פגם זה באמצעות הבאת הסכם המכר לעדותו בבית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מחדלים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בהם די כדי לנתק את הקשר שבין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לבין הרכב</w:t>
      </w:r>
      <w:r>
        <w:rPr>
          <w:rFonts w:ascii="David" w:hAnsi="David"/>
          <w:rtl w:val="true"/>
        </w:rPr>
        <w:t xml:space="preserve"> והזיקה שבין הרכב לבין העבירות שבוצעו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שמן הדין להורות על </w:t>
      </w:r>
      <w:r>
        <w:rPr>
          <w:rFonts w:ascii="David" w:hAnsi="David"/>
          <w:rtl w:val="true"/>
        </w:rPr>
        <w:t>חילוטו בשל מעשיו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בעניין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את דברו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במיקום העונש בתוככי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רשאי בית המשפט להתחשב בשיקולים של הרתעת היחיד או 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דכאן הורשע על פי הודאתו הן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והן בביצוע עבירה של 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בהן פגיעה אשר אינה מבוטלת בשורת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נשיאתו והובלתו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ייערך בו שימוש אשר סופו גרימת נזק רב עד מאוד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והיה זה הנאשם אשר היה עושה שימוש בנשק ביום מן הימים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והיה זה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פגיעה הן בהיבט הפרט של מי אשר השימוש בנשק מכוון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בהיבט הציבור בכללותו להתהלך באין מפריע ובבטחה במרחב הציבורי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בענייננו הגדיל ולא שעה להוראת השוטרים לעצור ובכך הורשע גם בעבירה של 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בהתנהלותו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בערך החברתי של הגנה על שלטון החוק ופעולתם הסדירה והתקינה של כוחות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</w:t>
      </w:r>
      <w:r>
        <w:rPr>
          <w:rFonts w:cs="David" w:ascii="David" w:hAnsi="David"/>
          <w:rtl w:val="true"/>
        </w:rPr>
        <w:t xml:space="preserve">,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7971/23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26.5.2024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וכפייה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הושתו 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מותב זה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28.7.2022</w:t>
      </w:r>
      <w:r>
        <w:rPr>
          <w:rtl w:val="true"/>
        </w:rPr>
        <w:t xml:space="preserve">) -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")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בהפנותה לפסק דין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הבליטה המאשימה את שנאמר 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הדין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מאסר בפועל בסביבתן של שלוש שנים הולם הובלה ונשיאה חד פעמית של נשק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39808-05-23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זיבאק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10.6.2024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32277-05-23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חיפה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חמדי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5.2.2024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הסניגורית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במסגרת הסדר טיעון בעבירות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ועבירה של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2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הצדדים הגיעו להסדר טיעון לפיו יוטלו על הנאשם העונשים הבאים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ימי מעצרו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וקנס שלהטלתו ההגנה התנגדה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אימץ את ההסדר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תוך שהחליט שלא להפעיל מאסר מותנה אשר היה תלוי ועומד נגד הנאשם משקבע כי אינו חל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כתב האישום לא כלל רקע לנשיאת והובלת הנשק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פוטנציאל הנזק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פעם שהנשק נתפס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גם להביא בחשבון את דברי הנאשם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התבקש על ידי קרוב משפחתו להעביר את הרכב ובו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העבירות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וממילא 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 הנאשם בעובדות המיוחסות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בשלביו הראשונים והמוקדמים של ההליך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היא לחיסכון בזמן שיפוטי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להוסיף את לקיחת האחריות על ידי הנאשם שהתבטאה כאמור בהודאה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איני סבור כי הפירוט שמסר הנאשם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הוא הסכים להעביר את הרכב עם הנשק כתוצאה מלחץ שהופעל עליו על ידי אנשים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משום התנערות מאחריות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באותה נשימה הנאשם הודה ואישר כי ידע על קיומו של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גם הורשע בדין בעבירה שיוחסה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או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סבור כי התייחסות הנאשם יש בה משום אי לקיחת אחריות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משקל של ממש יש ליתן גם לגילו הצעיר של הנאשם בעת ביצוע העבירות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 כי זוהי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לא עומדות לחובתו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נתתי דעתי גם למצב המשפחתי המורכב ובעיקר לעובדה כי על מנת לסייע לכלכלת המשפחה הנאשם נשר מלימודים והצטרף לאביו בעבודה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המשמעות היא שהעונש שיוטל על הנאשם יש בו משום פגיעה הן בנאשם והן במשפחתו לה הוא עוזר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שיקולים אלו פועל כולו לזכות הנאשם ויש בו די על מנת למקם את עונשו של הנאשם בתחתית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שעסקינן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שהפכו למכת מדינה באופן אשר יש בו להצדיק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המתאימים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החמרה בענישה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במקרה דנן להטיל עונש ברף התחתון של המתחם בהתחשב בכל אותם שיקולים לקולא שפורטו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להשית על הנאשם ענישה נוספת בעלת היבט כלכלי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18.10.2023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 או עבירה של נהיגה בזמן פסילה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פוסל את הנאשם מלנהוג 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מלקבל ו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מלהחזיק ברישיון נהיגה לתקופה של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 בפועל מיום שחרורו ממאסרו בתיק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ובמצטבר לכל פסילה אחרת אותה הוא מרצה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start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הוסברה לנאשם חובת הפקדת הרישיון או תצהיר ערוך כדין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מורה על חילוט הרכב מושא כתב האישום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רכב מסוג סקודה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b/>
          <w:bCs/>
          <w:sz w:val="24"/>
          <w:szCs w:val="24"/>
        </w:rPr>
        <w:t>233-39-401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וזאת לטובת אוצר המדינה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51170-10-23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עבדללה עיאט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case/2986791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8513828" TargetMode="External"/><Relationship Id="rId12" Type="http://schemas.openxmlformats.org/officeDocument/2006/relationships/hyperlink" Target="http://www.nevo.co.il/case/30168342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8697227" TargetMode="External"/><Relationship Id="rId15" Type="http://schemas.openxmlformats.org/officeDocument/2006/relationships/hyperlink" Target="http://www.nevo.co.il/case/27716369" TargetMode="External"/><Relationship Id="rId16" Type="http://schemas.openxmlformats.org/officeDocument/2006/relationships/hyperlink" Target="http://www.nevo.co.il/case/27494821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6931111" TargetMode="External"/><Relationship Id="rId19" Type="http://schemas.openxmlformats.org/officeDocument/2006/relationships/hyperlink" Target="http://www.nevo.co.il/case/27087184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5612982" TargetMode="External"/><Relationship Id="rId22" Type="http://schemas.openxmlformats.org/officeDocument/2006/relationships/hyperlink" Target="http://www.nevo.co.il/case/21474168" TargetMode="External"/><Relationship Id="rId23" Type="http://schemas.openxmlformats.org/officeDocument/2006/relationships/hyperlink" Target="http://www.nevo.co.il/case/29662894" TargetMode="External"/><Relationship Id="rId24" Type="http://schemas.openxmlformats.org/officeDocument/2006/relationships/hyperlink" Target="http://www.nevo.co.il/case/29652736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2024-10-20T10:33:00Z</dcterms:created>
  <dc:creator> </dc:creator>
  <dc:description/>
  <cp:keywords/>
  <dc:language>en-IL</dc:language>
  <cp:lastModifiedBy>h1</cp:lastModifiedBy>
  <dcterms:modified xsi:type="dcterms:W3CDTF">2024-10-20T10:33:00Z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עבדללה עיאט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29867910;28513828;30168342;28883087;28697227;27716369;27494821;26383419;26931111;27087184;26888657;25612982;21474168;29662894;29652736</vt:lpwstr>
  </property>
  <property fmtid="{D5CDD505-2E9C-101B-9397-08002B2CF9AE}" pid="9" name="CITY">
    <vt:lpwstr>חי'</vt:lpwstr>
  </property>
  <property fmtid="{D5CDD505-2E9C-101B-9397-08002B2CF9AE}" pid="10" name="DATE">
    <vt:lpwstr>20241015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70301/144.b;275:2;40ja</vt:lpwstr>
  </property>
  <property fmtid="{D5CDD505-2E9C-101B-9397-08002B2CF9AE}" pid="15" name="LAWYER">
    <vt:lpwstr>שני מורן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51170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390020241015</vt:lpwstr>
  </property>
  <property fmtid="{D5CDD505-2E9C-101B-9397-08002B2CF9AE}" pid="34" name="TYPE_N_DATE">
    <vt:lpwstr>39020241015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