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51199-04-23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חוסיין עמאש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  <w:u w:val="single"/>
        </w:rPr>
      </w:pPr>
      <w:r>
        <w:rPr>
          <w:rFonts w:eastAsia="David" w:cs="David" w:ascii="David" w:hAnsi="David"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6" w:name="ABSTRACT_START"/>
      <w:bookmarkEnd w:id="6"/>
      <w:r>
        <w:rPr>
          <w:rFonts w:ascii="David" w:hAnsi="David" w:eastAsia="David"/>
          <w:rtl w:val="true"/>
        </w:rPr>
        <w:t xml:space="preserve">הנאשם הודה והורשע </w:t>
      </w:r>
      <w:r>
        <w:rPr>
          <w:rFonts w:ascii="David" w:hAnsi="David" w:eastAsia="David"/>
          <w:rtl w:val="true"/>
        </w:rPr>
        <w:t>ב</w:t>
      </w:r>
      <w:r>
        <w:rPr>
          <w:rFonts w:ascii="David" w:hAnsi="David" w:eastAsia="David"/>
          <w:rtl w:val="true"/>
        </w:rPr>
        <w:t xml:space="preserve">עבירות של נשיאת והובלת נשק – עבירה לפי </w:t>
      </w:r>
      <w:hyperlink r:id="rId8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>סיפא</w:t>
      </w:r>
      <w:r>
        <w:rPr>
          <w:rFonts w:eastAsia="David" w:cs="David" w:ascii="David" w:hAnsi="David"/>
          <w:rtl w:val="true"/>
        </w:rPr>
        <w:t xml:space="preserve">) + </w:t>
      </w:r>
      <w:hyperlink r:id="rId9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וירי מנשק חם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1+2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12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עובדות כתב האישום המתוקן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בין הנאשם לבין זייד עמאש וג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מיל עמאש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זייד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 "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קיימת היכרות מוקדמת</w:t>
      </w:r>
      <w:r>
        <w:rPr>
          <w:rFonts w:ascii="David" w:hAnsi="David" w:eastAsia="Calibri"/>
          <w:rtl w:val="true"/>
        </w:rPr>
        <w:t xml:space="preserve"> והם </w:t>
      </w:r>
      <w:r>
        <w:rPr>
          <w:rFonts w:ascii="David" w:hAnsi="David" w:eastAsia="Calibri"/>
          <w:rtl w:val="true"/>
        </w:rPr>
        <w:t>מתגוררים בכפר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סר אל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זרקא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סניור עמאש הוא אביהם של מוחמד עמאש ועודאי  עמאש ודודו של מועאד עמאש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 בהתאמה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סניור</w:t>
      </w:r>
      <w:r>
        <w:rPr>
          <w:rFonts w:eastAsia="Calibri" w:cs="David" w:ascii="David" w:hAnsi="David"/>
          <w:rtl w:val="true"/>
        </w:rPr>
        <w:t>" "</w:t>
      </w:r>
      <w:r>
        <w:rPr>
          <w:rFonts w:ascii="David" w:hAnsi="David" w:eastAsia="Calibri"/>
          <w:rtl w:val="true"/>
        </w:rPr>
        <w:t>מוחמד</w:t>
      </w:r>
      <w:r>
        <w:rPr>
          <w:rFonts w:eastAsia="Calibri" w:cs="David" w:ascii="David" w:hAnsi="David"/>
          <w:rtl w:val="true"/>
        </w:rPr>
        <w:t>" "</w:t>
      </w:r>
      <w:r>
        <w:rPr>
          <w:rFonts w:ascii="David" w:hAnsi="David" w:eastAsia="Calibri"/>
          <w:rtl w:val="true"/>
        </w:rPr>
        <w:t>עודאי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 "</w:t>
      </w:r>
      <w:r>
        <w:rPr>
          <w:rFonts w:ascii="David" w:hAnsi="David" w:eastAsia="Calibri"/>
          <w:rtl w:val="true"/>
        </w:rPr>
        <w:t>מועאד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ולהלן יחד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המתלוננים</w:t>
      </w:r>
      <w:r>
        <w:rPr>
          <w:rFonts w:eastAsia="Calibri" w:cs="David" w:ascii="David" w:hAnsi="David"/>
          <w:rtl w:val="true"/>
        </w:rPr>
        <w:t xml:space="preserve">").  </w:t>
      </w:r>
      <w:r>
        <w:rPr>
          <w:rFonts w:ascii="David" w:hAnsi="David" w:eastAsia="Calibri"/>
          <w:rtl w:val="true"/>
        </w:rPr>
        <w:t>בין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זייד וג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 לבין המתלוננים קיימת היכרות מוקדמת על רקע מגוריהם המשותפים בכפר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סר א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זרקא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במועד הרלוונטי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התגור</w:t>
      </w:r>
      <w:r>
        <w:rPr>
          <w:rFonts w:ascii="David" w:hAnsi="David" w:eastAsia="Calibri"/>
          <w:rtl w:val="true"/>
        </w:rPr>
        <w:t>ר</w:t>
      </w:r>
      <w:r>
        <w:rPr>
          <w:rFonts w:ascii="David" w:hAnsi="David" w:eastAsia="Calibri"/>
          <w:rtl w:val="true"/>
        </w:rPr>
        <w:t>ו סניור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בניו מוחמד ועודאי וכן בני משפחה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בביתם ברחוב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ובראן חליל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ובראן בכפר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סר אל זרקא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בית משפחת סניור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19/3/23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בשעות הערב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תכננו הנאשם זייד וג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 לבצע ירי לעבר בית משפחת סניור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18:30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לאותו היום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הם</w:t>
      </w:r>
      <w:r>
        <w:rPr>
          <w:rFonts w:ascii="David" w:hAnsi="David" w:eastAsia="Calibri"/>
          <w:rtl w:val="true"/>
        </w:rPr>
        <w:t xml:space="preserve"> נפגשו של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 ויצאו משם יחדיו לכיוון בית משפחת סניור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כשהם מצוידים בכלי הנחזה כנשק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הכלי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וכן בנשק 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שהינו נשק שסוגל לירות כדור שבכוחו להמית אדם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הנשק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ומחסנית תואמת שהינה אביזר של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ולפחות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קליעים בקליבר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פאראבלום המתאימים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אותם נשאו והובילו 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הכל בצוותא חדא ולשם מימוש תוכנית הירי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זייד וג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 הגיעו לאזור בית משפחת סניור והסתובבו באזור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כהכנה לקראת מימוש תוכנית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באותה העת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ישבו מוחמד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עודאי ומועאד באחד החדרים בבית וצפו במסך הטלוויזיה </w:t>
      </w:r>
      <w:r>
        <w:rPr>
          <w:rFonts w:ascii="David" w:hAnsi="David" w:eastAsia="Calibri"/>
          <w:rtl w:val="true"/>
        </w:rPr>
        <w:t xml:space="preserve">של </w:t>
      </w:r>
      <w:r>
        <w:rPr>
          <w:rFonts w:ascii="David" w:hAnsi="David" w:eastAsia="Calibri"/>
          <w:rtl w:val="true"/>
        </w:rPr>
        <w:t xml:space="preserve"> מצלמות האבטחה של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ובתוך כך הבחינו בנאשם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זייד ובג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 משוטטים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ויצאו</w:t>
      </w:r>
      <w:r>
        <w:rPr>
          <w:rFonts w:ascii="David" w:hAnsi="David" w:eastAsia="Calibri"/>
          <w:rtl w:val="true"/>
        </w:rPr>
        <w:t xml:space="preserve"> מהבית על מנת לברר מה מעשיהם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וסניור </w:t>
      </w:r>
      <w:r>
        <w:rPr>
          <w:rFonts w:ascii="David" w:hAnsi="David" w:eastAsia="Calibri"/>
          <w:rtl w:val="true"/>
        </w:rPr>
        <w:t>חבר אליהם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</w:t>
      </w:r>
      <w:r>
        <w:rPr>
          <w:rFonts w:ascii="David" w:hAnsi="David" w:eastAsia="Calibri"/>
          <w:rtl w:val="true"/>
        </w:rPr>
        <w:t>הבחינו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זייד וג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 כי המתלוננים מתקרבים לעברם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הוציא זייד מהחלק הקדמי של מכנסיו את הכלי וירה באמצעותו באוויר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בשלב זה ונוכח חששם של המתלוננים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נמלטו בריצה לכיוון הבית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שהמתלוננים נכנסו</w:t>
      </w:r>
      <w:r>
        <w:rPr>
          <w:rFonts w:ascii="David" w:hAnsi="David" w:eastAsia="Calibri"/>
          <w:rtl w:val="true"/>
        </w:rPr>
        <w:t xml:space="preserve"> לבית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התקדם הנאשם אל עבר</w:t>
      </w:r>
      <w:r>
        <w:rPr>
          <w:rFonts w:ascii="David" w:hAnsi="David" w:eastAsia="Calibri"/>
          <w:rtl w:val="true"/>
        </w:rPr>
        <w:t xml:space="preserve">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ירה לעב</w:t>
      </w:r>
      <w:r>
        <w:rPr>
          <w:rFonts w:ascii="David" w:hAnsi="David" w:eastAsia="Calibri"/>
          <w:rtl w:val="true"/>
        </w:rPr>
        <w:t>רו באמצעות הנשק</w:t>
      </w:r>
      <w:r>
        <w:rPr>
          <w:rFonts w:ascii="David" w:hAnsi="David" w:eastAsia="Calibri"/>
          <w:rtl w:val="true"/>
        </w:rPr>
        <w:t xml:space="preserve"> לא פחות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יריות  ופגע בכבל חשמל של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 זאת בצוותא חדא עם זייד וג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 ובאופן שיש בו כדי לסכן חיי אדם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לאחר הירי נמלטו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זייד וג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 לביתו של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כתוצאה ממעשיהם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זייד וג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מיל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נגרמה הפסקת חשמל בבית משפחת סניור וכן נגרם נזק לכבל</w:t>
      </w:r>
      <w:r>
        <w:rPr>
          <w:rFonts w:ascii="David" w:hAnsi="David" w:eastAsia="Calibri"/>
          <w:rtl w:val="true"/>
        </w:rPr>
        <w:t xml:space="preserve"> החשמל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תסקיר שירות המבחן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בתסקיר שירות המבחן פורטו בהרחבה נסיבותיו האישיות של הנאשם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מהתסקיר עולה כי הנאשם מביע צער וחרטה על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מכיר בחומרת 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השלכותיהם ו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>סיכון המשמעותי לפגיעה בחיי אדם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</w:t>
      </w:r>
      <w:r>
        <w:rPr>
          <w:rFonts w:ascii="David" w:hAnsi="David" w:eastAsia="David"/>
          <w:rtl w:val="true"/>
        </w:rPr>
        <w:t xml:space="preserve">דיווח מגורמי </w:t>
      </w:r>
      <w:r>
        <w:rPr>
          <w:rFonts w:ascii="David" w:hAnsi="David" w:eastAsia="David"/>
          <w:rtl w:val="true"/>
        </w:rPr>
        <w:t xml:space="preserve">הטיפול עולה </w:t>
      </w:r>
      <w:r>
        <w:rPr>
          <w:rFonts w:ascii="David" w:hAnsi="David" w:eastAsia="David"/>
          <w:rtl w:val="true"/>
        </w:rPr>
        <w:t>כי לא נרשמו לחובתו דוחות ו</w:t>
      </w:r>
      <w:r>
        <w:rPr>
          <w:rFonts w:eastAsia="David" w:cs="David" w:ascii="David" w:hAnsi="David"/>
          <w:rtl w:val="true"/>
        </w:rPr>
        <w:t>/</w:t>
      </w:r>
      <w:r>
        <w:rPr>
          <w:rFonts w:ascii="David" w:hAnsi="David" w:eastAsia="David"/>
          <w:rtl w:val="true"/>
        </w:rPr>
        <w:t>או אירועי משמעת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וכי</w:t>
      </w:r>
      <w:r>
        <w:rPr>
          <w:rFonts w:ascii="David" w:hAnsi="David" w:eastAsia="David"/>
          <w:rtl w:val="true"/>
        </w:rPr>
        <w:t xml:space="preserve"> הנאשם</w:t>
      </w:r>
      <w:r>
        <w:rPr>
          <w:rFonts w:ascii="David" w:hAnsi="David" w:eastAsia="David"/>
          <w:rtl w:val="true"/>
        </w:rPr>
        <w:t xml:space="preserve"> זקוק לטיפול ומביע מוטיבציה להשתלב בטיפול בתחום עבירותיו 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שירות המבחן התרשם כי הנאשם השתדל לשמור על אורח חיים תקין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להימנע מהתנהלות עוברת חוק וכי קיים פער בין האופן בו בחר להציג את התנהלותו בדרך כלל לבין מעורבותו בעבירות המתוארות ואופיין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שירות המבחן התקשה לבוא בהערכה מלאה לגבי הסיכון  להישנות עבירות דומות וזאת נוכח הפער בין תפקודו </w:t>
      </w:r>
      <w:r>
        <w:rPr>
          <w:rFonts w:ascii="David" w:hAnsi="David" w:eastAsia="David"/>
          <w:rtl w:val="true"/>
        </w:rPr>
        <w:t xml:space="preserve">הנורמטיבי עובר לביצוע העבירות </w:t>
      </w:r>
      <w:r>
        <w:rPr>
          <w:rFonts w:ascii="David" w:hAnsi="David" w:eastAsia="David"/>
          <w:rtl w:val="true"/>
        </w:rPr>
        <w:t>לבין חומרת העבירות המיוחסות לו ואופיין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והתייחסותו המצומצמת של הנאשם לביצוע</w:t>
      </w:r>
      <w:r>
        <w:rPr>
          <w:rFonts w:ascii="David" w:hAnsi="David" w:eastAsia="David"/>
          <w:rtl w:val="true"/>
        </w:rPr>
        <w:t>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לא בא בהמלצה על חלופות ענישה או שיקום במסגרת הקהילה העשויות להפחית סיכון להישנות עבירה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עם זאת הומלץ על שילוב הנאשם בתוכניות טיפול במסגרת שירותי בתי הסוהר לצורך העלאת סיכויי השיקום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ascii="David" w:hAnsi="David" w:eastAsia="David"/>
          <w:rtl w:val="true"/>
        </w:rPr>
        <w:t xml:space="preserve">הוגש גזר דינו של השותף </w:t>
      </w:r>
      <w:r>
        <w:rPr>
          <w:rFonts w:ascii="David" w:hAnsi="David" w:eastAsia="David"/>
          <w:rtl w:val="true"/>
        </w:rPr>
        <w:t>ב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פ </w:t>
      </w:r>
      <w:r>
        <w:rPr>
          <w:rFonts w:eastAsia="David" w:cs="David" w:ascii="David" w:hAnsi="David"/>
        </w:rPr>
        <w:t>51209-04-23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u w:val="single"/>
          <w:rtl w:val="true"/>
        </w:rPr>
        <w:t>מדינת ישראל נ</w:t>
      </w:r>
      <w:r>
        <w:rPr>
          <w:rFonts w:eastAsia="David" w:cs="David" w:ascii="David" w:hAnsi="David"/>
          <w:u w:val="single"/>
          <w:rtl w:val="true"/>
        </w:rPr>
        <w:t xml:space="preserve">' </w:t>
      </w:r>
      <w:r>
        <w:rPr>
          <w:rFonts w:ascii="David" w:hAnsi="David" w:eastAsia="David"/>
          <w:u w:val="single"/>
          <w:rtl w:val="true"/>
        </w:rPr>
        <w:t>זייד עמאש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עיקרי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ומגמת ההחמרה בענישה לצורך מאבק בתופעת האלימות באמצעות נשק והרתעת הרבים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ציינה כי מדובר בתוכנית עבריינית לפיה הנאשם לא רק נשא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אף עשה בו שימוש וירה לכיוון בית המתלוננים חרף הסיכון הרב הטמון 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וסיכן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לנזק שנגרם לבית המתלוננים כתוצאה ממעשיו של הנאשם שבעקבותו נגרמה הפסקת חשמל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ובכך הפנתה גם לפוטנציאל הנזק הגבוה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הירי בוצע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ורק במזל האירוע הסתיים ללא פגיעה בחיי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להודאתו המוקדמת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לחיסכון בזמן שיפוטי יקר ולהעדר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לפסיקה רלוונטית וציינה כי לשיטתה מתחם העונש ההולם צריך להיות גבוה מהמתחם אליו היא טוענת היום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ובשל אחידות הענישה והעבודה כי בעניינו של שותפו אשר הורשע בעבירות של סיוע לעבירות נשיאה והובלת נשק וסיוע לירי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היא תטען למתחם עונש הולם אשר נע בין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80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לאמץ את מתחם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ולמקם את עונשו של הנאשם בשליש התחתון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להטיל על הנאשם מאסר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קנס כספי ופיצוי למתלוננים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עיקרי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sz w:val="14"/>
          <w:szCs w:val="14"/>
          <w:u w:val="single"/>
        </w:rPr>
      </w:pPr>
      <w:r>
        <w:rPr>
          <w:rFonts w:eastAsia="David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להודאתו המידית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ללקיחת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לחיסכון בשמיעת </w:t>
      </w:r>
      <w:r>
        <w:rPr>
          <w:rFonts w:ascii="David" w:hAnsi="David" w:eastAsia="Calibri"/>
          <w:rtl w:val="true"/>
        </w:rPr>
        <w:t xml:space="preserve">העדים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לרבות </w:t>
      </w:r>
      <w:r>
        <w:rPr>
          <w:rFonts w:ascii="David" w:hAnsi="David" w:eastAsia="Calibri"/>
          <w:rtl w:val="true"/>
        </w:rPr>
        <w:t>המתלוננים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לנסיבותיו האיש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להיותו רווק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שהתגורר עם הוריו ועבד לפרנסתו טרם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להעדר עבר פלילי </w:t>
      </w:r>
      <w:r>
        <w:rPr>
          <w:rFonts w:ascii="David" w:hAnsi="David" w:eastAsia="Calibri"/>
          <w:rtl w:val="true"/>
        </w:rPr>
        <w:t xml:space="preserve">כאשר </w:t>
      </w:r>
      <w:r>
        <w:rPr>
          <w:rFonts w:ascii="David" w:hAnsi="David" w:eastAsia="Calibri"/>
          <w:rtl w:val="true"/>
        </w:rPr>
        <w:t>מדובר במעידתו הראשונה בפלילים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בתקופה בה הנאשם עצור עד תום ההליכים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וכידוע תנאי מעצר יותר קשים מתנאי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לגבי 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העבירות בוצעו בתמימות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הפעלת שיקול דעת מוטעה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נגררות </w:t>
      </w:r>
      <w:r>
        <w:rPr>
          <w:rFonts w:ascii="David" w:hAnsi="David" w:eastAsia="Calibri"/>
          <w:rtl w:val="true"/>
        </w:rPr>
        <w:t xml:space="preserve">אחר </w:t>
      </w:r>
      <w:r>
        <w:rPr>
          <w:rFonts w:ascii="David" w:hAnsi="David" w:eastAsia="Calibri"/>
          <w:rtl w:val="true"/>
        </w:rPr>
        <w:t xml:space="preserve"> מעורבים אחרים</w:t>
      </w:r>
      <w:r>
        <w:rPr>
          <w:rFonts w:ascii="David" w:hAnsi="David" w:eastAsia="Calibri"/>
          <w:rtl w:val="true"/>
        </w:rPr>
        <w:t xml:space="preserve"> מבוגרים יותר אשר תכננו את האירוע </w:t>
      </w:r>
      <w:r>
        <w:rPr>
          <w:rFonts w:ascii="David" w:hAnsi="David" w:eastAsia="Calibri"/>
          <w:rtl w:val="true"/>
        </w:rPr>
        <w:t>מתכנני האירוע</w:t>
      </w:r>
      <w:r>
        <w:rPr>
          <w:rFonts w:ascii="David" w:hAnsi="David" w:eastAsia="Calibri"/>
          <w:rtl w:val="true"/>
        </w:rPr>
        <w:t xml:space="preserve"> ומי שבלעדיהם האירוע לא היה מתרחש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כתוצאה ממעשיו של הנאשם ולמרבה המזל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נגרם נזק לגוף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והנזק הסתכם בפגיעה בכבל החשמל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ובהתאם טען</w:t>
      </w:r>
      <w:r>
        <w:rPr>
          <w:rFonts w:ascii="David" w:hAnsi="David" w:eastAsia="Calibri"/>
          <w:rtl w:val="true"/>
        </w:rPr>
        <w:t xml:space="preserve"> לרף חומרה נמוך ביחס לעבירות בהן הנאשם הודה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 על המתחם לו טענה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וטען בסיכומיו הכתובים לשני מתחמים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בסעיף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לסיכומיו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טען למתחם עונש הולם אשר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בסעיף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לסיכומיו טען למתחם עונש הולם אשר נע 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בעבודות שירות ועד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למקם את עונשו של הנאשם ברף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להסתפק בימי </w:t>
      </w:r>
      <w:r>
        <w:rPr>
          <w:rFonts w:ascii="David" w:hAnsi="David" w:eastAsia="Calibri"/>
          <w:rtl w:val="true"/>
        </w:rPr>
        <w:t xml:space="preserve"> המעצר </w:t>
      </w:r>
      <w:r>
        <w:rPr>
          <w:rFonts w:ascii="David" w:hAnsi="David" w:eastAsia="Calibri"/>
          <w:rtl w:val="true"/>
        </w:rPr>
        <w:t xml:space="preserve">בהם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נתון עד היום</w:t>
      </w:r>
      <w:r>
        <w:rPr>
          <w:rFonts w:ascii="David" w:hAnsi="David" w:eastAsia="Calibri"/>
          <w:rtl w:val="true"/>
        </w:rPr>
        <w:t xml:space="preserve"> בצירוף מאסר מותנה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לחילופין וככל שבית המשפט יקבע מתחם עונש הולם גבוה </w:t>
      </w:r>
      <w:r>
        <w:rPr>
          <w:rFonts w:ascii="David" w:hAnsi="David" w:eastAsia="Calibri"/>
          <w:rtl w:val="true"/>
        </w:rPr>
        <w:t>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לחרוג מהמתחם מטעמי צדק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בשל מצבו הכלכלי והחברתי של הנאשם ו</w:t>
      </w:r>
      <w:r>
        <w:rPr>
          <w:rFonts w:ascii="David" w:hAnsi="David" w:eastAsia="Calibri"/>
          <w:rtl w:val="true"/>
        </w:rPr>
        <w:t xml:space="preserve"> ובפרט גילו </w:t>
      </w:r>
      <w:r>
        <w:rPr>
          <w:rFonts w:ascii="David" w:hAnsi="David" w:eastAsia="Calibri"/>
          <w:rtl w:val="true"/>
        </w:rPr>
        <w:t xml:space="preserve">הצעיר שכן הטלת מאסר ממושך </w:t>
      </w:r>
      <w:r>
        <w:rPr>
          <w:rFonts w:ascii="David" w:hAnsi="David" w:eastAsia="Calibri"/>
          <w:rtl w:val="true"/>
        </w:rPr>
        <w:t xml:space="preserve"> תפגע בסיכויי השיקום 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ולא תשיג את</w:t>
      </w:r>
      <w:r>
        <w:rPr>
          <w:rFonts w:ascii="David" w:hAnsi="David" w:eastAsia="Calibri"/>
          <w:rtl w:val="true"/>
        </w:rPr>
        <w:t xml:space="preserve"> מטרות הענישה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אביו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 עוסאמה עמאש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העבירות בוצעו בעקבות השפע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 ונגררות אחר החברה השולית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הוא מלווה 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להתחשב בו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 התנצל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וציין כי מעשיו לא יישנו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סיפר </w:t>
      </w:r>
      <w:r>
        <w:rPr>
          <w:rFonts w:ascii="David" w:hAnsi="David" w:eastAsia="Calibri"/>
          <w:rtl w:val="true"/>
        </w:rPr>
        <w:t xml:space="preserve">כי כיום הוא </w:t>
      </w:r>
      <w:r>
        <w:rPr>
          <w:rFonts w:ascii="David" w:hAnsi="David" w:eastAsia="Calibri"/>
          <w:rtl w:val="true"/>
        </w:rPr>
        <w:t xml:space="preserve">משמש כאסיר </w:t>
      </w:r>
      <w:r>
        <w:rPr>
          <w:rFonts w:ascii="David" w:hAnsi="David" w:eastAsia="Calibri"/>
          <w:rtl w:val="true"/>
        </w:rPr>
        <w:t xml:space="preserve">תומך </w:t>
      </w:r>
      <w:r>
        <w:rPr>
          <w:rFonts w:ascii="David" w:hAnsi="David" w:eastAsia="Calibri"/>
          <w:rtl w:val="true"/>
        </w:rPr>
        <w:t>לא</w:t>
      </w:r>
      <w:r>
        <w:rPr>
          <w:rFonts w:ascii="David" w:hAnsi="David" w:eastAsia="Calibri"/>
          <w:rtl w:val="true"/>
        </w:rPr>
        <w:t xml:space="preserve">סיר </w:t>
      </w:r>
      <w:r>
        <w:rPr>
          <w:rFonts w:ascii="David" w:hAnsi="David" w:eastAsia="Calibri"/>
          <w:rtl w:val="true"/>
        </w:rPr>
        <w:t>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משתתף בקבוצות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והביע נכונות לסיים את לימודיו במסגרת הכלא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פרק ו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סימן א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סעיפים </w:t>
      </w:r>
      <w:r>
        <w:rPr>
          <w:rFonts w:eastAsia="David" w:cs="David" w:ascii="David" w:hAnsi="David"/>
        </w:rPr>
        <w:t>40</w:t>
      </w:r>
      <w:r>
        <w:rPr>
          <w:rFonts w:ascii="David" w:hAnsi="David" w:eastAsia="David"/>
          <w:rtl w:val="true"/>
        </w:rPr>
        <w:t>א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טו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14"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 xml:space="preserve">הערכים המוגנים שנפגעו כתוצאה מביצוע העבירות נשוא כתב האישום המתוקן הינם הצורך לשמור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1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16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17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18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 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eastAsia="David" w:cs="David" w:ascii="David" w:hAnsi="David"/>
          <w:b/>
          <w:bCs/>
          <w:sz w:val="22"/>
          <w:szCs w:val="22"/>
        </w:rPr>
        <w:t>25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).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19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20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...".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...".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למרבה הצער שימוש בנשק חם הפך לחזון נפרץ ברחובות ישובים ערביים רבים במדינה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מדובר בתופעה קשה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אכזרית וקטלנית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וחדשות לבקרים אנו מתבשרים על מותם של אזרחים תמימים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עוברי אורח שנקלעו לקו הירי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תעוזתם של העושים שימוש בנשק לצורך פתרון סכסוכים וביצוע 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אינה יודעת גבול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בתי המשפט לתרום את חלקם בהגנה על התושבים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החזקת נשק לא חוקי צפויה להסתיים בשימוש לא חוקי בנשק  ובהקשר זה כבר נאמר ב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עבד אלכרים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כאשר המחזיק בו נתון תמיד לחשש שיתפתה לעשות בו שימוש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ולו ברגעי  לחץ ופחד </w:t>
      </w:r>
      <w:r>
        <w:rPr>
          <w:rFonts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ראו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: 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3300/06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אבו סנינה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b/>
          <w:bCs/>
          <w:sz w:val="22"/>
          <w:szCs w:val="22"/>
          <w:rtl w:val="true"/>
        </w:rPr>
        <w:t>, [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]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z w:val="22"/>
          <w:szCs w:val="22"/>
        </w:rPr>
        <w:t>6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(</w:t>
      </w:r>
      <w:r>
        <w:rPr>
          <w:rFonts w:cs="David" w:ascii="David" w:hAnsi="David"/>
          <w:b/>
          <w:bCs/>
          <w:sz w:val="22"/>
          <w:szCs w:val="22"/>
        </w:rPr>
        <w:t>10.8.2006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להלן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: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עניין אבו סנינה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).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יתר על כן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במעשיו של המשיב יש משום יסוד של נטילת החוק לידיים תחת הותרת דבר האיומים על חייו לטיפול הגורם המוסמך לכך – משטרת ישראל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זאת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כשאין בידו לדעת כיצד עלולה פרשת האיומים להסתיים אלמלא נתפס הנשק על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ידי המשטרה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התנהלות זו יש בה גם היבט של פגיעה בסדר החברתי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מעבר לעצם יצירת הסיכון לשלום הציבור</w:t>
      </w:r>
      <w:r>
        <w:rPr>
          <w:rFonts w:cs="David" w:ascii="David" w:hAnsi="David"/>
          <w:sz w:val="22"/>
          <w:szCs w:val="22"/>
          <w:rtl w:val="true"/>
        </w:rPr>
        <w:t>".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ascii="David" w:hAnsi="David"/>
          <w:rtl w:val="true"/>
        </w:rPr>
        <w:t>ההדגשות שלי ג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</w:rPr>
      </w:pPr>
      <w:r>
        <w:rPr>
          <w:rFonts w:eastAsia="David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מדובר באירוע מתוכנן עת </w:t>
      </w:r>
      <w:r>
        <w:rPr>
          <w:rFonts w:ascii="David" w:hAnsi="David" w:eastAsia="Calibri"/>
          <w:rtl w:val="true"/>
        </w:rPr>
        <w:t xml:space="preserve">הנאשם ביחד עם אחרים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תכננו </w:t>
      </w:r>
      <w:r>
        <w:rPr>
          <w:rFonts w:ascii="David" w:hAnsi="David" w:eastAsia="Calibri"/>
          <w:rtl w:val="true"/>
        </w:rPr>
        <w:t xml:space="preserve"> לבצע ירי </w:t>
      </w:r>
      <w:r>
        <w:rPr>
          <w:rFonts w:ascii="David" w:hAnsi="David" w:eastAsia="Calibri"/>
          <w:rtl w:val="true"/>
        </w:rPr>
        <w:t xml:space="preserve"> לעבר בית המתלוננים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הצטיידו 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מחסנית תואמת ולא פחות מ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הובילו אותם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ובהגיעם למתחם בית המתלוננים הסתובבו באזור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ושמהמתלוננים יצאו מהבית לברר מה מעשיהם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אחד המעורבים שלף מהחלק הקדמי של מכנסיו את </w:t>
      </w:r>
      <w:r>
        <w:rPr>
          <w:rFonts w:ascii="David" w:hAnsi="David" w:eastAsia="Calibri"/>
          <w:rtl w:val="true"/>
        </w:rPr>
        <w:t>הכלי</w:t>
      </w:r>
      <w:r>
        <w:rPr>
          <w:rFonts w:ascii="David" w:hAnsi="David" w:eastAsia="Calibri"/>
          <w:rtl w:val="true"/>
        </w:rPr>
        <w:t xml:space="preserve"> וירה באמצעותו באוויר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והמתלוננים נמלטו מהמקום ונכנסו </w:t>
      </w:r>
      <w:r>
        <w:rPr>
          <w:rFonts w:ascii="David" w:hAnsi="David" w:eastAsia="Calibri"/>
          <w:rtl w:val="true"/>
        </w:rPr>
        <w:t>לביתם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בשלב זה </w:t>
      </w:r>
      <w:r>
        <w:rPr>
          <w:rFonts w:ascii="David" w:hAnsi="David" w:eastAsia="Calibri"/>
          <w:rtl w:val="true"/>
        </w:rPr>
        <w:t xml:space="preserve"> הנאשם ירה לעבר הבית לא פחות מ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יריות באמצעות הנשק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יש בעובדה שהנאשם נשא והוביל את הנשק ועשה בו שימוש באזור מגורים </w:t>
      </w:r>
      <w:r>
        <w:rPr>
          <w:rFonts w:ascii="David" w:hAnsi="David" w:eastAsia="David"/>
          <w:rtl w:val="true"/>
        </w:rPr>
        <w:t xml:space="preserve"> וביצע ירי לעבר הבית כאשר המתלוננים נמצאים בתוכו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כדי להוות נסיבה מחמירה באופן משמעותי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חלקו של הנאשם בביצוע העבירות הינו מרכזי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זאת נוכח העובדה שהוא זה שירה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כדורים לעבר הבית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מדובר בנאשם בגיר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שהבין את הפסול במעשיו והשלכותיהם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יכ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ל להימנע מביצועם אך הוא בחר שלא לעשות 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לא לאחר שהמתלוננים נסו אל תוך ביתם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גם יש לתת משקל לעובדה שהעבירה בוצעה בצוותא עם אחרים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כתוצאה ממעשיו של הנאשם נפגע ונגרם נזק לכבל החשמל של הבית  וכתוצאה מכך נגרמה הפסקת חשמל בבית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 בפועל לא נגרם נזק לגוף או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שמדובר בנאשם שאינו מורשה לשאת נשק או לעשות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עבר הכשרות 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אלו הקשורות בבטיחות 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ופוטנציאל הנזק מירי </w:t>
      </w:r>
      <w:r>
        <w:rPr>
          <w:rFonts w:ascii="David" w:hAnsi="David"/>
          <w:rtl w:val="true"/>
        </w:rPr>
        <w:t>הינו רב ו</w:t>
      </w:r>
      <w:r>
        <w:rPr>
          <w:rFonts w:ascii="David" w:hAnsi="David"/>
          <w:rtl w:val="true"/>
        </w:rPr>
        <w:t>קטלני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רק במזל האירוע לא הסתיים בפגיעות גוף או במוות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רק לשער את הפחד שאחז במתלוננים נוכח מעשיו של הנאשם והאחרים ויש להניח כי האירוע ילווה אותם גם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אניח לטובת הנאשם כי מדובר בנשיאת של הנשק שלא נמשכה מעבר ל</w:t>
      </w:r>
      <w:r>
        <w:rPr>
          <w:rFonts w:ascii="David" w:hAnsi="David" w:eastAsia="David"/>
          <w:rtl w:val="true"/>
        </w:rPr>
        <w:t>אירועים המפורטים בכתב האישום וכי הוא הושפע במידה כזו או אחרת מאחרים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ascii="David" w:hAnsi="David" w:eastAsia="David"/>
          <w:rtl w:val="true"/>
        </w:rPr>
        <w:t xml:space="preserve">במכלול הנסיבות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הינה משמעותית ומצויה ברף חומרה</w:t>
      </w:r>
      <w:r>
        <w:rPr>
          <w:rFonts w:ascii="David" w:hAnsi="David" w:eastAsia="David"/>
          <w:rtl w:val="true"/>
        </w:rPr>
        <w:t xml:space="preserve"> בינוני ומעלה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מדיניות הענישה והפסיקה הנהוגה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2"/>
          <w:szCs w:val="2"/>
          <w:u w:val="single"/>
        </w:rPr>
      </w:pPr>
      <w:r>
        <w:rPr>
          <w:rFonts w:eastAsia="Calibri" w:cs="David" w:ascii="David" w:hAnsi="David"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6985/20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מטר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בעבירות של נשיאת והחזקת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ובזמן שישב במושב הקדמי של רכב כשבידו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החלון וירה מספר כדורים מבעד לחלון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בצד מאסרים מותנים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במסגרת הערעור הופחת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בגילו הצעיר ובעברו הנקי של הנאשם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נאשם שוהה בלתי חוקי נשא אקדח בשטחי ישראל ונמלט משוטר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בעבירות נשיאת נשק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בעבירת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ובעבירת כניסה ושהייה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של הנאשם הוחמר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42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בין סורג ובריח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בידאסה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בעבירות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והאחר 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את הנשקים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את עונשו של הנאשם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מאסר בפועל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אמיר אבו גאנם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על הנאשם בעל עבר פלילי בעבירות נשק שהורשע בעבירה של נשיאת והובלת אקדח ומחסנית ריקה ברכבו נגזרו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יאיר סבג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והובלת נשק והחזקת סכין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בצד ענישה נלווית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</w:t>
      </w:r>
      <w:hyperlink r:id="rId2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6068/21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אברהים פקיה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הנאשם הורשע בעבירות של נשיאת נשק וירי מנשק חם באיזור מגורים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מתחם עונש הולם אשר נע בין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בעל עבר פלילי שריצה ארבעה עונשי מאסר הוטלו 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בהתחשב בנסיבותיו האישיות והמלצות שירות המבחן החיוביות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ערעור על קולת העונש התקבל באופן שעונשו של הנאשם הועמד על </w:t>
      </w:r>
      <w:r>
        <w:rPr>
          <w:rFonts w:eastAsia="David" w:cs="David" w:ascii="David" w:hAnsi="David"/>
        </w:rPr>
        <w:t>25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8322/21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דחלה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 ושיבוש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שעל רקע סכסוך ירה באקדח כשהוא עם  כפפות ופניו מכוסים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חם צוואר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ונמלט מהמקום חרף קריאות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</w:t>
      </w:r>
      <w:r>
        <w:rPr>
          <w:rFonts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1059/21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 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מנשק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שהחזיק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ומשהתפתחו חילופי דברים בין לבין קטין שכללו קריאות הדדיות לעזוב את המקום וכן דחיפות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הוציא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שתי יריות באוויר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ובעת שהקטין ניסה להימלט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הנאשם ירה מספר יריות נוספות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נקבע מתחם ענישה של </w:t>
      </w:r>
      <w:r>
        <w:rPr>
          <w:rFonts w:cs="David" w:ascii="David" w:hAnsi="David"/>
        </w:rPr>
        <w:t>36-60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יאיר סבג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והובלת נשק והחזקת סכין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שירה באקדח חצי אוטומטי בשעת צהריים סמוך לביתו של אדם עמו היה מסוכסך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אשר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בצד ענישה נלווית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9830/17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חמודה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 xml:space="preserve">מדינת ישראל </w:t>
      </w:r>
      <w:r>
        <w:rPr>
          <w:rFonts w:ascii="David" w:hAnsi="David"/>
          <w:rtl w:val="true"/>
        </w:rPr>
        <w:t>הנאשם הורשע בביצוע עבירות של נשיאת נשק וירי באזור מגורים בסמוך לבית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רקע סכסוך שנתגלע בין אחות הנאשם למשפחת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הפנה למספר פסקי דין כאשר העונשים שהוטלו נעים בין </w:t>
      </w:r>
      <w:r>
        <w:rPr>
          <w:rFonts w:eastAsia="David" w:cs="David" w:ascii="David" w:hAnsi="David"/>
        </w:rPr>
        <w:t>20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העונש המרבי הקבוע בצידה של נשיאה של אביזר או תחמושת הוא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ascii="David" w:hAnsi="David"/>
          <w:rtl w:val="true"/>
        </w:rPr>
        <w:t xml:space="preserve"> ובצידה של עבירה של ירי בנשק חם באזור מגורים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בתיקון 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גם במקרים בהם לא בוצע ירי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eastAsia="Calibri" w:cs="Calibri" w:ascii="Calibri" w:hAnsi="Calibri"/>
          <w:color w:val="000000"/>
          <w:sz w:val="14"/>
          <w:szCs w:val="14"/>
          <w:rtl w:val="true"/>
        </w:rPr>
        <w:t xml:space="preserve"> </w:t>
      </w:r>
      <w:r>
        <w:rPr>
          <w:rFonts w:ascii="David" w:hAnsi="David" w:eastAsia="Calibri"/>
          <w:rtl w:val="true"/>
        </w:rPr>
        <w:t>יוער כי הבאתי בחשבון גם את גזר דינו של שותפו לביצוע העבירות מר זייד עמאש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הורשע בעבירות של סיוע לנשיאה והובלת נשק וסיוע לירי באזור מגורים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שם נקבע מתחם עונש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נדון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cs="David" w:ascii="David" w:hAnsi="David"/>
          <w:b/>
          <w:bCs/>
          <w:spacing w:val="10"/>
          <w:rtl w:val="true"/>
        </w:rPr>
        <w:t>.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כידוע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עקרון אחידות הענישה הוא עקרון יסוד בשיטתנו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ואחת מנגזרותיו היא החובה להבטיח יחס הולם בין עונשיהם של המעורבים השונים באותה פרשה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כך שמדרג הענישה ישקף את חלקם היחסי של כל אחד מהמעורבים בה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</w:rPr>
          <w:t>8172/21</w:t>
        </w:r>
      </w:hyperlink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חג</w:t>
      </w:r>
      <w:r>
        <w:rPr>
          <w:rFonts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אזי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2"/>
          <w:szCs w:val="22"/>
        </w:rPr>
        <w:t>18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szCs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r>
        <w:rPr>
          <w:rFonts w:cs="David" w:ascii="David" w:hAnsi="David"/>
          <w:b/>
          <w:bCs/>
          <w:spacing w:val="10"/>
          <w:sz w:val="22"/>
          <w:szCs w:val="22"/>
        </w:rPr>
        <w:t>15.5.2022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); 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</w:rPr>
          <w:t>4536/21</w:t>
        </w:r>
      </w:hyperlink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פרץ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2"/>
          <w:szCs w:val="22"/>
        </w:rPr>
        <w:t>15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szCs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r>
        <w:rPr>
          <w:rFonts w:cs="David" w:ascii="David" w:hAnsi="David"/>
          <w:b/>
          <w:bCs/>
          <w:spacing w:val="10"/>
          <w:sz w:val="22"/>
          <w:szCs w:val="22"/>
        </w:rPr>
        <w:t>4.11.2021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)).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יישומה של חובה זו משתנה מטבעם של דברים ממקרה למקרה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ועל בית המשפט לשקול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בין היתר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את חומרת המעשים שביצע כל אחד מן הנאשמים ביחס לאחרים בשים לב לנסיבותיו האישיות של כל נאשם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עניין עשור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2"/>
          <w:szCs w:val="22"/>
        </w:rPr>
        <w:t>20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)." (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</w:rPr>
          <w:t>4762/22</w:t>
        </w:r>
      </w:hyperlink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כנפו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2"/>
          <w:szCs w:val="22"/>
        </w:rPr>
        <w:t>22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szCs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r>
        <w:rPr>
          <w:rFonts w:cs="David" w:ascii="David" w:hAnsi="David"/>
          <w:b/>
          <w:bCs/>
          <w:spacing w:val="10"/>
          <w:sz w:val="22"/>
          <w:szCs w:val="22"/>
        </w:rPr>
        <w:t>15.08.2023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)).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8"/>
          <w:szCs w:val="8"/>
          <w:u w:val="single"/>
        </w:rPr>
      </w:pPr>
      <w:r>
        <w:rPr>
          <w:rFonts w:eastAsia="David" w:cs="David" w:ascii="David" w:hAnsi="David"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ביצוען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מתחם העונש ההולם צריך לכלול רכיב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</w:rPr>
        <w:t>58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sz w:val="12"/>
          <w:szCs w:val="12"/>
          <w:u w:val="single"/>
        </w:rPr>
      </w:pPr>
      <w:r>
        <w:rPr>
          <w:rFonts w:eastAsia="Calibri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לקולה אני מביא בחשבון את ההודאה בכתב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ascii="David" w:hAnsi="David" w:eastAsia="David"/>
          <w:rtl w:val="true"/>
        </w:rPr>
        <w:t xml:space="preserve"> ובפרט העובדה שנחסכה עדות המתלוננים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 xml:space="preserve">כן תובא בחשבון תקופת המעצר המשמעותית בה הנאשם 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נסיבותיו האישיות כמפורט בטיעוני ההגנה ותסקיר 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גילו הצעיר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מצבה הכלכלי הקשה של 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העובדה כי מדובר בנאשם נעדר עבר פלילי ולמעשה מדובר בהסתבכותו הראשונה</w:t>
      </w:r>
      <w:r>
        <w:rPr>
          <w:rFonts w:ascii="David" w:hAnsi="David" w:eastAsia="David"/>
          <w:rtl w:val="true"/>
        </w:rPr>
        <w:t xml:space="preserve"> בפלילים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השלכות המאסר על הנאשם ומשפחתו מה בפרט שמדובר במאסרו הראשון</w:t>
      </w:r>
      <w:r>
        <w:rPr>
          <w:rFonts w:ascii="David" w:hAnsi="David" w:eastAsia="David"/>
          <w:rtl w:val="true"/>
        </w:rPr>
        <w:t xml:space="preserve"> של מי שכאמור הינו אדם צעיר שטרם מלאו לו עשרים שנה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ואת נכונותו של  הנאשם להשתלב בהליך שיקומי במסגרת הכלא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וכן העובדה שהוא משמש כאסיר תומך וכבר משתתף בקבוצות טיפול במסגרת מעצרו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ascii="David" w:hAnsi="David" w:eastAsia="David"/>
          <w:rtl w:val="true"/>
        </w:rPr>
        <w:t>לא מצאתי כי מתקיימת נסיבה משמעותית לחומרה גם בהתחשב בהיעדר המלצה טיפולית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לציין ששרות המבחן לא גיבש עמדה בשאלת מסוכנותו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המליץ על המשך שילובו בהליכי שיקום במסגרת מאסרו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שנכון לגזור על הנאשם עונש מאסר המתקרב לרף התחתון של מתחם העונש ההולם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</w:t>
      </w:r>
      <w:r>
        <w:rPr>
          <w:rFonts w:eastAsia="David" w:cs="David" w:ascii="David" w:hAnsi="David"/>
          <w:b/>
          <w:bCs/>
        </w:rPr>
        <w:t>38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13.04.23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או עבירת אלימות מסוג פשע 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עוון או עבירת אלימות מסוג עוון 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אני גוזר על הנאשם קנס כספי בסך</w:t>
      </w:r>
      <w:r>
        <w:rPr>
          <w:rFonts w:eastAsia="David" w:cs="David" w:ascii="David" w:hAnsi="David"/>
          <w:b/>
          <w:bCs/>
        </w:rPr>
        <w:t>5</w:t>
      </w:r>
      <w:r>
        <w:rPr>
          <w:rFonts w:eastAsia="David" w:cs="David" w:ascii="David" w:hAnsi="David"/>
          <w:b/>
          <w:bCs/>
        </w:rPr>
        <w:t>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eastAsia="David" w:cs="David" w:ascii="David" w:hAnsi="David"/>
          <w:b/>
          <w:bCs/>
        </w:rPr>
        <w:t>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</w:t>
      </w:r>
      <w:r>
        <w:rPr>
          <w:rFonts w:ascii="David" w:hAnsi="David" w:eastAsia="David"/>
          <w:b/>
          <w:b/>
          <w:bCs/>
          <w:rtl w:val="true"/>
        </w:rPr>
        <w:t>מי מאסר</w:t>
      </w:r>
      <w:r>
        <w:rPr>
          <w:rFonts w:eastAsia="David" w:cs="David" w:ascii="David" w:hAnsi="David"/>
          <w:b/>
          <w:bCs/>
          <w:rtl w:val="true"/>
        </w:rPr>
        <w:t xml:space="preserve">.  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פיצוי כספי </w:t>
      </w:r>
      <w:r>
        <w:rPr>
          <w:rFonts w:ascii="David" w:hAnsi="David" w:eastAsia="David"/>
          <w:b/>
          <w:b/>
          <w:bCs/>
          <w:rtl w:val="true"/>
        </w:rPr>
        <w:t xml:space="preserve">כולל 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ascii="David" w:hAnsi="David" w:eastAsia="David"/>
          <w:b/>
          <w:b/>
          <w:bCs/>
          <w:rtl w:val="true"/>
        </w:rPr>
        <w:t xml:space="preserve">סך </w:t>
      </w:r>
      <w:r>
        <w:rPr>
          <w:rFonts w:eastAsia="David" w:cs="David" w:ascii="David" w:hAnsi="David"/>
          <w:b/>
          <w:bCs/>
        </w:rPr>
        <w:t>10,000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₪  </w:t>
      </w:r>
      <w:r>
        <w:rPr>
          <w:rFonts w:ascii="David" w:hAnsi="David" w:eastAsia="David"/>
          <w:b/>
          <w:b/>
          <w:bCs/>
          <w:rtl w:val="true"/>
        </w:rPr>
        <w:t xml:space="preserve">אשר </w:t>
      </w:r>
      <w:r>
        <w:rPr>
          <w:rFonts w:ascii="David" w:hAnsi="David" w:eastAsia="David"/>
          <w:b/>
          <w:b/>
          <w:bCs/>
          <w:rtl w:val="true"/>
        </w:rPr>
        <w:t>ישולם למתלוננים באופן שווה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הקנס </w:t>
      </w:r>
      <w:r>
        <w:rPr>
          <w:rFonts w:ascii="David" w:hAnsi="David" w:eastAsia="David"/>
          <w:b/>
          <w:b/>
          <w:bCs/>
          <w:rtl w:val="true"/>
        </w:rPr>
        <w:t>ו</w:t>
      </w:r>
      <w:r>
        <w:rPr>
          <w:rFonts w:ascii="David" w:hAnsi="David" w:eastAsia="David"/>
          <w:b/>
          <w:b/>
          <w:bCs/>
          <w:rtl w:val="true"/>
        </w:rPr>
        <w:t xml:space="preserve">פיצוי שהוטלו על הנאשם  ישולמו עד ליום </w:t>
      </w:r>
      <w:r>
        <w:rPr>
          <w:rFonts w:eastAsia="David" w:cs="David" w:ascii="David" w:hAnsi="David"/>
          <w:b/>
          <w:bCs/>
        </w:rPr>
        <w:t>01.01.2025</w:t>
      </w:r>
      <w:r>
        <w:rPr>
          <w:rFonts w:eastAsia="David" w:cs="David" w:ascii="David" w:hAnsi="David"/>
          <w:b/>
          <w:bCs/>
          <w:rtl w:val="true"/>
        </w:rPr>
        <w:t xml:space="preserve"> . 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eastAsia="David"/>
          <w:rtl w:val="true"/>
        </w:rPr>
        <w:t>תשומת לב הנאשם שיש לשלם את הקנס והפיצוי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38">
        <w:r>
          <w:rPr>
            <w:rStyle w:val="Hyperlink"/>
            <w:rFonts w:eastAsia="David" w:cs="David" w:ascii="David" w:hAnsi="David"/>
            <w:color w:val="0563C1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 xml:space="preserve">". </w:t>
      </w: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  <w:color w:val="FFFFFF"/>
          <w:sz w:val="2"/>
          <w:szCs w:val="2"/>
        </w:rPr>
      </w:pPr>
      <w:r>
        <w:rPr>
          <w:rFonts w:eastAsia="David"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51199-04-23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חוסיין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.b.1." TargetMode="External"/><Relationship Id="rId7" Type="http://schemas.openxmlformats.org/officeDocument/2006/relationships/hyperlink" Target="http://www.nevo.co.il/law/70301/340a.b.2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.b.1.;340a.b.2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7894608" TargetMode="External"/><Relationship Id="rId17" Type="http://schemas.openxmlformats.org/officeDocument/2006/relationships/hyperlink" Target="http://www.nevo.co.il/case/2815213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601503" TargetMode="External"/><Relationship Id="rId20" Type="http://schemas.openxmlformats.org/officeDocument/2006/relationships/hyperlink" Target="http://www.nevo.co.il/case/6034921" TargetMode="External"/><Relationship Id="rId21" Type="http://schemas.openxmlformats.org/officeDocument/2006/relationships/hyperlink" Target="http://www.nevo.co.il/case/26913995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5887664" TargetMode="External"/><Relationship Id="rId24" Type="http://schemas.openxmlformats.org/officeDocument/2006/relationships/hyperlink" Target="http://www.nevo.co.il/case/27063216" TargetMode="External"/><Relationship Id="rId25" Type="http://schemas.openxmlformats.org/officeDocument/2006/relationships/hyperlink" Target="http://www.nevo.co.il/case/28883087" TargetMode="External"/><Relationship Id="rId26" Type="http://schemas.openxmlformats.org/officeDocument/2006/relationships/hyperlink" Target="http://www.nevo.co.il/case/28243273" TargetMode="External"/><Relationship Id="rId27" Type="http://schemas.openxmlformats.org/officeDocument/2006/relationships/hyperlink" Target="http://www.nevo.co.il/case/28722692" TargetMode="External"/><Relationship Id="rId28" Type="http://schemas.openxmlformats.org/officeDocument/2006/relationships/hyperlink" Target="http://www.nevo.co.il/case/28384638" TargetMode="External"/><Relationship Id="rId29" Type="http://schemas.openxmlformats.org/officeDocument/2006/relationships/hyperlink" Target="http://www.nevo.co.il/case/27915710" TargetMode="External"/><Relationship Id="rId30" Type="http://schemas.openxmlformats.org/officeDocument/2006/relationships/hyperlink" Target="http://www.nevo.co.il/case/28152125" TargetMode="External"/><Relationship Id="rId31" Type="http://schemas.openxmlformats.org/officeDocument/2006/relationships/hyperlink" Target="http://www.nevo.co.il/case/27404359" TargetMode="External"/><Relationship Id="rId32" Type="http://schemas.openxmlformats.org/officeDocument/2006/relationships/hyperlink" Target="http://www.nevo.co.il/case/28384638" TargetMode="External"/><Relationship Id="rId33" Type="http://schemas.openxmlformats.org/officeDocument/2006/relationships/hyperlink" Target="http://www.nevo.co.il/case/2350903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8142541" TargetMode="External"/><Relationship Id="rId36" Type="http://schemas.openxmlformats.org/officeDocument/2006/relationships/hyperlink" Target="http://www.nevo.co.il/case/27742715" TargetMode="External"/><Relationship Id="rId37" Type="http://schemas.openxmlformats.org/officeDocument/2006/relationships/hyperlink" Target="http://www.nevo.co.il/case/28774350" TargetMode="External"/><Relationship Id="rId38" Type="http://schemas.openxmlformats.org/officeDocument/2006/relationships/hyperlink" Target="http://www.eca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2024-07-21T12:09:00Z</dcterms:created>
  <dc:creator> </dc:creator>
  <dc:description/>
  <cp:keywords/>
  <dc:language>en-IL</dc:language>
  <cp:lastModifiedBy>h1</cp:lastModifiedBy>
  <dcterms:modified xsi:type="dcterms:W3CDTF">2024-07-21T12:09:00Z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חוסיין עמאש</vt:lpwstr>
  </property>
  <property fmtid="{D5CDD505-2E9C-101B-9397-08002B2CF9AE}" pid="4" name="CASENOTES1">
    <vt:lpwstr>ProcID=209&amp;PartA=51209&amp;PartB=04&amp;PartC=23</vt:lpwstr>
  </property>
  <property fmtid="{D5CDD505-2E9C-101B-9397-08002B2CF9AE}" pid="5" name="CASENOTES2">
    <vt:lpwstr>ProcID=133;209&amp;PartA=1530&amp;PartC=04</vt:lpwstr>
  </property>
  <property fmtid="{D5CDD505-2E9C-101B-9397-08002B2CF9AE}" pid="6" name="CASESLISTTMP1">
    <vt:lpwstr>27894608;28152132;5601503;6034921;26913995;7791493;5887664;27063216;28883087;28243273;28722692;28384638:2;27915710;28152125;27404359;23509035;28142541;27742715;28774350</vt:lpwstr>
  </property>
  <property fmtid="{D5CDD505-2E9C-101B-9397-08002B2CF9AE}" pid="7" name="CITY">
    <vt:lpwstr>חי'</vt:lpwstr>
  </property>
  <property fmtid="{D5CDD505-2E9C-101B-9397-08002B2CF9AE}" pid="8" name="DATE">
    <vt:lpwstr>20240718</vt:lpwstr>
  </property>
  <property fmtid="{D5CDD505-2E9C-101B-9397-08002B2CF9AE}" pid="9" name="ISABSTRACT">
    <vt:lpwstr>Y</vt:lpwstr>
  </property>
  <property fmtid="{D5CDD505-2E9C-101B-9397-08002B2CF9AE}" pid="10" name="JUDGE">
    <vt:lpwstr>גיל קרזבום</vt:lpwstr>
  </property>
  <property fmtid="{D5CDD505-2E9C-101B-9397-08002B2CF9AE}" pid="11" name="LAWLISTTMP1">
    <vt:lpwstr>70301/144.b;029:2;340a.b.1;340a.b.2;040a</vt:lpwstr>
  </property>
  <property fmtid="{D5CDD505-2E9C-101B-9397-08002B2CF9AE}" pid="12" name="NEWPARTA">
    <vt:lpwstr>51199</vt:lpwstr>
  </property>
  <property fmtid="{D5CDD505-2E9C-101B-9397-08002B2CF9AE}" pid="13" name="NEWPARTB">
    <vt:lpwstr>04</vt:lpwstr>
  </property>
  <property fmtid="{D5CDD505-2E9C-101B-9397-08002B2CF9AE}" pid="14" name="NEWPARTC">
    <vt:lpwstr>23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390020240718</vt:lpwstr>
  </property>
  <property fmtid="{D5CDD505-2E9C-101B-9397-08002B2CF9AE}" pid="19" name="TYPE_N_DATE">
    <vt:lpwstr>39020240718</vt:lpwstr>
  </property>
  <property fmtid="{D5CDD505-2E9C-101B-9397-08002B2CF9AE}" pid="20" name="WORDNUMPAGES">
    <vt:lpwstr>8</vt:lpwstr>
  </property>
</Properties>
</file>