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85"/>
        <w:gridCol w:w="3120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38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51209-04-23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עמאש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</w:p>
        </w:tc>
        <w:tc>
          <w:tcPr>
            <w:tcW w:w="312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מיל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עמאש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זייד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עמאש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00"/>
            <w:u w:val="non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none"/>
          </w:rPr>
          <w:t>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non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00"/>
            <w:u w:val="none"/>
          </w:rPr>
          <w:t>2</w:t>
        </w:r>
      </w:hyperlink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בעניינו של נאשם </w:t>
      </w:r>
      <w:r>
        <w:rPr>
          <w:rFonts w:cs="Arial" w:ascii="Arial" w:hAnsi="Arial"/>
          <w:sz w:val="28"/>
          <w:szCs w:val="28"/>
          <w:u w:val="single"/>
        </w:rPr>
        <w:t>1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 גם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הורשע 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תיקון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בעבירה של סיוע לעבירות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לפי </w:t>
      </w:r>
      <w:hyperlink r:id="rId12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רישא וסיפא </w:t>
      </w:r>
      <w:hyperlink r:id="rId13">
        <w:r>
          <w:rPr>
            <w:rStyle w:val="Hyperlink"/>
            <w:rFonts w:ascii="David" w:hAnsi="David" w:eastAsia="Calibri"/>
            <w:color w:val="0000FF"/>
            <w:rtl w:val="true"/>
          </w:rPr>
          <w:t>וסעיף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רישא וסיפא </w:t>
      </w:r>
      <w:r>
        <w:rPr>
          <w:rFonts w:eastAsia="Calibri" w:cs="David" w:ascii="David" w:hAnsi="David"/>
          <w:rtl w:val="true"/>
        </w:rPr>
        <w:t xml:space="preserve">+ </w:t>
      </w:r>
      <w:hyperlink r:id="rId14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31</w:t>
        </w:r>
      </w:hyperlink>
      <w:r>
        <w:rPr>
          <w:rFonts w:eastAsia="Calibri" w:cs="David" w:ascii="David" w:hAnsi="David"/>
          <w:rtl w:val="true"/>
        </w:rPr>
        <w:t xml:space="preserve"> + </w:t>
      </w:r>
      <w:hyperlink r:id="rId15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וכן בעבירה של סיוע לירי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17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340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Calibri" w:cs="David" w:ascii="David" w:hAnsi="David"/>
            <w:color w:val="0000FF"/>
          </w:rPr>
          <w:t>1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)+(</w:t>
        </w:r>
        <w:r>
          <w:rPr>
            <w:rStyle w:val="Hyperlink"/>
            <w:rFonts w:eastAsia="Calibri" w:cs="David" w:ascii="David" w:hAnsi="David"/>
            <w:color w:val="0000FF"/>
          </w:rPr>
          <w:t>2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+ </w:t>
      </w:r>
      <w:r>
        <w:rPr>
          <w:rFonts w:ascii="David" w:hAnsi="David" w:eastAsia="Calibri"/>
          <w:rtl w:val="true"/>
        </w:rPr>
        <w:t xml:space="preserve">סעיף </w:t>
      </w:r>
      <w:hyperlink r:id="rId18">
        <w:r>
          <w:rPr>
            <w:rStyle w:val="Hyperlink"/>
            <w:rFonts w:eastAsia="Calibri" w:cs="David" w:ascii="David" w:hAnsi="David"/>
            <w:color w:val="0000FF"/>
          </w:rPr>
          <w:t>31</w:t>
        </w:r>
      </w:hyperlink>
      <w:r>
        <w:rPr>
          <w:rFonts w:eastAsia="Calibri" w:cs="David" w:ascii="David" w:hAnsi="David"/>
          <w:rtl w:val="true"/>
        </w:rPr>
        <w:t xml:space="preserve"> + </w:t>
      </w:r>
      <w:hyperlink r:id="rId19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הסדר הטיעון לא כלל הסכמה עונשית ועל כן נקבע כי כל צד יטען את טענותיו לעניין העונש באופן חופשי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יוער כי גם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הודה והורשע במסגרת אותו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ואולם בעניינו קיימת חובת תסקיר המעוגנת בדין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מחמת גילו במועד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ולכן הוא הופנה לשירות המבחן לעריכת תסקיר בטרם שמיעת טיעוני הצדדים לעונש ביחס אליו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הופרד הדיון בעניינו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מהדיון בעניינו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נאמר כי בין הנאשמים לבין חוסין עמאש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חוסין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ובינם לבין עצמם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קיימת היכרות מוקדמת והשלושה מתגוררים בכפר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סר אל זרקא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סניור עמאש הוא אביהם של מוחמד עמאש ועודאי עמאש ודודו של מועד עמאש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 יחד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המתלוננים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שבינם לבין הנאשמים וחוסין קיימת היכרות מוקדמת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במועד הרלוונטי לכתב האישום התגוררו סניור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בניו מוחמד ועודאי וכן בני משפחה נוספים בביתם ברחוב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ובראן חליל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ובראן בכפר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סר אל זרקא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בית משפחת סניור</w:t>
      </w:r>
      <w:r>
        <w:rPr>
          <w:rFonts w:eastAsia="Calibri" w:cs="David" w:ascii="David" w:hAnsi="David"/>
          <w:rtl w:val="true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19.3.2023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בשעות הערב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תכננו הנאשמים וחוסין תכנית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במסגרתה סוכם כי חוסין יבצע ירי לעבר בית משפחת סניור בסיועם של הנאשמים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19.3.2023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18:30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נפגשו הנאשמים וחוסין בביתו של הנאשם ויצאו משם יחדיו לכיוון בית משפחת סניור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הנאשמים וחוסין יצאו מביתו של הנאשם כאשר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מצויד בכלי הנחזה כנשק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הכלי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ואילו חוסין מצויד בנשק מאולתר שסוגל לירות כדור שבכוחו להמית אדם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הנשק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וכן מחסנית תואמת ולפחות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קליעים בקליבר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פראבלום המתאימים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אותם נשא והוביל חוסין בלא רשות על פי דין בסיועם של הנאשמים ולשם מימוש תכנית הירי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הנאשמים וחוסין הגיעו לאזור בית משפחת סניור והסתובבו באזור הבית והרכב של מוחמד שחנה בסמוך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כהכנה לקראת מימוש תכנית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באותה העת ישבו מוחמד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עודאי ומועד באחד החדרים בבית וצפו במסך הטלוויזיה שמשדר את מצלמות האבטחה של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ובתוך כך הבחינו בנאשמים ובחוסין משוטטים במקום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או אז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יצאו מחמוד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עודאי ומועד מהבית על מנת לברר מה מעשיהם של הנאשמים וחוסין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משהבחין סניור ביציאתם מהבית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חבר אליהם ויצא אף הוא לכיוונם של הנאשמים וחוסין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לאמור ומשהבחינו הנאשמים וחוסין כי המתלוננים מתקדמים לעברם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הוציא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מהחלק הקדמי של מכנסיו את הכלי וירה באמצעותו באוויר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זה ונוכח חששם של המתלוננים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הם נמלטו בריצה בכיוון הבית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שהמתלוננים נכנסו לבית משפחת סניור ובמטרה לקדם את תכנית 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התקדם חוסין אל עבר בית משפחת סניור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הנאשמים מתרחקים מהמקום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חוסין ירה שלא כדין לעבר הבית לא פחות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יריות באמצעות הנשק ופגע בכבל חשמל של הבית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שיש בו כדי לסכן חיי אדם ובסיועם של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במעשיהם כמתואר לעיל אפשרו את ביצוע הירי והקלו על ביצועו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לאחר הירי נפגשו הנאשמים וחוסין בביתו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כתוצאה ממעשיהם של הנאשמים וחוסין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נגרמה הפסקת חשמל בבית משפחת סניור וכן נגרם נזק לכבל החשמלי בבית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מטעם המאשימה לא הוגשו ראיות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הגיש את חוות הדעת של ועדת האבחון מיום </w:t>
      </w:r>
      <w:r>
        <w:rPr>
          <w:rFonts w:eastAsia="Calibri" w:cs="David" w:ascii="David" w:hAnsi="David"/>
        </w:rPr>
        <w:t>30.7.2023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שנערכה בעניינו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את החלטת ועדת ההשמה מיום </w:t>
      </w:r>
      <w:r>
        <w:rPr>
          <w:rFonts w:eastAsia="Calibri" w:cs="David" w:ascii="David" w:hAnsi="David"/>
        </w:rPr>
        <w:t>29.5.2023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סיכום אשפוז מבית החולים רמב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ם מיום </w:t>
      </w:r>
      <w:r>
        <w:rPr>
          <w:rFonts w:eastAsia="Calibri" w:cs="David" w:ascii="David" w:hAnsi="David"/>
        </w:rPr>
        <w:t>13.11.2018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סיכום ביקור במרכז הרפואי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הלל יפה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מיום </w:t>
      </w:r>
      <w:r>
        <w:rPr>
          <w:rFonts w:eastAsia="Calibri" w:cs="David" w:ascii="David" w:hAnsi="David"/>
        </w:rPr>
        <w:t>17.4.2023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ממצאי בדיקת </w:t>
      </w:r>
      <w:r>
        <w:rPr>
          <w:rFonts w:eastAsia="Calibri" w:cs="David" w:ascii="David" w:hAnsi="David"/>
        </w:rPr>
        <w:t>CT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שנערכה לנאשם ביום </w:t>
      </w:r>
      <w:r>
        <w:rPr>
          <w:rFonts w:eastAsia="Calibri" w:cs="David" w:ascii="David" w:hAnsi="David"/>
        </w:rPr>
        <w:t>17.4.2023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והפניה לדימות בקופת חולים כללית מיום </w:t>
      </w:r>
      <w:r>
        <w:rPr>
          <w:rFonts w:eastAsia="Calibri" w:cs="David" w:ascii="David" w:hAnsi="David"/>
        </w:rPr>
        <w:t>23.5.2023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הפנתה המאשימה לחומרת העבירות בהן הורשע הנאשם ולערכים החברתיים שנפגעו כתוצאה מביצוען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הכוללים את שלומו וביטחונו של הציבור בכללותו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ושלומם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ביטחונם ורכושם של המתלוננים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שיורים לעבר ביתם אל מול עיניהם כשהם נמלטים כדי לא להיפגע בעצמם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לטענת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באירוע שתוכנן על ידי כלל המעורבים 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אמנם הורשע בעבירת סיוע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מדובר בסיוע ברף הנמוך שהתבטא לדוגמה בהסעתו של חוסין לזירת האירוע או הצבעה בפניו על מקום מגוריהם של המתלוננים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השלושה יצאו יחדיו ועשו הכנה ביחד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בסופו של דבר חוסין הוא זה שביצע את הירי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הנזק שנגרם כתוצאה ממעשיו של הנאשם הוא רכושי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זה לא העיקר בעבירות מהסוג הזה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הפוטנציאל של פגיעה בביטחון ושלום הציבור והסיכון העצום שנשקף למתלוננים הוא רב ביותר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המאשימה הפנתה לתיקון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הקובע עונש מינימום של חודשי מאסר בגין העבירה המושלמת של נשיאה והובלה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שחל בענייננו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בהתאם </w:t>
      </w:r>
      <w:hyperlink r:id="rId21">
        <w:r>
          <w:rPr>
            <w:rStyle w:val="Hyperlink"/>
            <w:rFonts w:ascii="David" w:hAnsi="David" w:eastAsia="Calibri"/>
            <w:color w:val="0000FF"/>
            <w:rtl w:val="true"/>
          </w:rPr>
          <w:t>לסעיף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33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עונש המינימום שיש להשית על הנאשם רק על עבירת הסיוע לנשיאה והובלה הוא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בשים לב לעובדה שבענייננו מדובר בסיוע הן לנשיאה והובלה והן לביצוע 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שהפנתה להנחיית פרקליט המדינה העוסקת בעבירות בנשק ולמדיניות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לקבוע מתחם המצוי בטווח שבין </w:t>
      </w:r>
      <w:r>
        <w:rPr>
          <w:rFonts w:eastAsia="Calibri" w:cs="David" w:ascii="David" w:hAnsi="David"/>
        </w:rPr>
        <w:t>4-2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גילו הצעיר של הנאשם והעובדה כי הוא 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ובשים לב להודאתו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לגזור את עונשו ברף התחתון של המתחם לו עתרה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להשית עונשים נלווים בדמות קנס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פיצוי למתלוננים ומאסר מותנה מרתיע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טיעוניו לעונש ציין הסנגור כי הסיוע של הנאשם היה מינורי ביותר וכי חלקו ביחס לשני המעורבים האחרים היה שולי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העבירות היו מתבצעות אף ללא הסיוע מצדו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הוסיף כי אין מחלוקת שהנאשם לא נשא על גופו את הנשק וגם לא ביצע את הירי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חלקו מתמצה בכך שיצא מביתו יחד עם שני המעורבים הנוספים והיה מודע לקיומו של נשק עם חוסין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לטענת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בעת גזירת עונשו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לתת ביטוי לתרומתם המינורית של מעשיו לביצוע העבירה ולכך שמדובר בסיוע ברף נמוך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הוסיף כי מתחם העונש ההולם בעבירות בנשק הוא רחב ותלוי במשתנים רבים ובנסיבותיו הייחודיות של כל מקרה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לשיטתו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מתחם העונש בענייננו צריך להיקבע בטווח שבין </w:t>
      </w:r>
      <w:r>
        <w:rPr>
          <w:rFonts w:eastAsia="Calibri" w:cs="David" w:ascii="David" w:hAnsi="David"/>
        </w:rPr>
        <w:t>15-9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ויש לגזור את עונשו של הנאשם ברף התחתון של מתחם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בנאשם 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המצוי במעצר מאז </w:t>
      </w:r>
      <w:r>
        <w:rPr>
          <w:rFonts w:eastAsia="Calibri" w:cs="David" w:ascii="David" w:hAnsi="David"/>
        </w:rPr>
        <w:t>13.4.2023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ואשר הודה וקיבל על עצמו אחריות מלאה על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להביא בחשבון את מצבו הקוגניטיבי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שעולה מדו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ועדת האבחון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שם צוין כי מדובר בצעיר הסובל מקשיים קוגניטיביים על רקע של נזק אורגני למוח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קומפוננטים אישיותיים דלים המנמיכים עוד יותר את כישוריו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חברי ועדת האבחון קבעו אמנם פה אחד כי הנאשם כשיר לעמוד לדין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דיונית והן מהותית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לצד זאת נקבע כי הוא מתפקד ברמה גבולית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בטיעוניו הכתובים ציין הסנגור כי קרבתו של הנאשם לסייג לאחריות פלילית מצדיקה קביעת מתחם ענישה שונה ממקרים דומים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שאין בהם רקע של קושי שכלי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נפשי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התנגד לטיעון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העומד בסתירה למוסכם בהסדר הטיעון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שם הוסכם במפורש כי בטיעוניה לעונש לא תעלה ההגנה טענה לגבי קרבה לסייג לאחריות פלילית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בעקבות התנגדות זו הבהרתי בהחלטתי שניתנה במעמד הדיון ביום </w:t>
      </w:r>
      <w:r>
        <w:rPr>
          <w:rFonts w:eastAsia="Calibri" w:cs="David" w:ascii="David" w:hAnsi="David"/>
        </w:rPr>
        <w:t>17.1.2024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כל טענה החורגת מהסדר הטיעון עליו חתמו הצדדים לא תזכה לכל התייחסות בגזר הדין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יש להצר על הטענות לעניין זה שהעלתה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העומדות בניגוד למה שהוסכם בהסדר בין הצדדים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לגזירת העונש בתוך המתחם לו עתר הסנגור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 יש לחרוג ממתחם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בשל הקרבה לסייג אי שפיות הדעת והן משיקולי צדק בשל מצבו הרפואי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צוין כי הנאשם עבר ניתוח בראשו בהיותו בן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ומאז ניכרת הנמכה קוגניטיבית על רקע אורגני מעבר להנמכה מילדות בשל חסכים סביבתיים וחברתיים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להתחשב בגילו הצעיר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בהיותו 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בשיתוף הפעולה שלו עם רשויות אכיפת החוק ובנסיבות חייו הקשות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להסתפק בימי מעצרו של שולחו ולהשית עליו ענישה צופה פני עתיד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אמר הנאשם כי הוא עשה טעות עליה הוא מצר והוא לא רוצה לחזור ולעשות טעויות נוספות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בגזירת הדין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לפעול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 קיומו של יחס הולם בין חומרת העבירה בנסיבותיה ומידת אשמו של הנאשם לבין סוג ומידת העונש המוטל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להתחשב בערכים החברתיים המוגנים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במקרים דומים ובכלל הנסיבות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כמפורט </w:t>
      </w:r>
      <w:hyperlink r:id="rId23">
        <w:r>
          <w:rPr>
            <w:rStyle w:val="Hyperlink"/>
            <w:rFonts w:ascii="David" w:hAnsi="David" w:eastAsia="Calibri"/>
            <w:color w:val="0000FF"/>
            <w:rtl w:val="true"/>
          </w:rPr>
          <w:t>בסעיף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החברתיים שנפגעו מביצוע העבירות בענייננו הם הערך העליון של קדושת החיים וכן 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שלמות גופו וקניינו של האדם ושל הציבור בכללותו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בית המשפט העליון עמד בפסיקה עקבית על חומרתן היתרה של העבירות בנשק ועל חובתו של בית המשפט להירתם למאבק בהתפשטות עבירות אלו על דרך של החמרת הענישה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2165/23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בלאל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4.5.2023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נאמר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על חומרתן הרבה של עבירות הנשק עמד בית משפט זה פעם אחר פעם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בחברה הישראלית </w:t>
      </w:r>
      <w:r>
        <w:rPr>
          <w:rFonts w:eastAsia="Calibri"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הן מסכנות את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בהיותן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קרקע פורייה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לביצוע עבירות אחרות – החל מעבירות איומים וכלה בעבירות המתה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ובשל יכולתן לגרום לפגיעות בגוף ובנפש </w:t>
      </w:r>
      <w:r>
        <w:rPr>
          <w:rFonts w:eastAsia="Calibri"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2283/22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 נבארי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דעתו של חברי השופט 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כבוב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31.7.2022</w:t>
      </w:r>
      <w:r>
        <w:rPr>
          <w:rFonts w:eastAsia="Calibri" w:cs="David" w:ascii="David" w:hAnsi="David"/>
          <w:rtl w:val="true"/>
        </w:rPr>
        <w:t xml:space="preserve">); 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מסאלחה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הודגש לא אחת כי יש לנקוט במדיניות ענישה ממשית ומשמעותית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ניתן מעמד בכורה מבין שיקולי הענישה לשיקולי הרתעת היחיד והרבים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שמשמעותה הרחקת עברייני הנשק מהחברה לפרק זמן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ידי השמתם מאחורי סורג ובריח </w:t>
      </w:r>
      <w:r>
        <w:rPr>
          <w:rFonts w:eastAsia="Calibri" w:cs="David" w:ascii="David" w:hAnsi="David"/>
          <w:rtl w:val="true"/>
        </w:rPr>
        <w:t>(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2880/23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עיסא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25.4.2023</w:t>
      </w:r>
      <w:r>
        <w:rPr>
          <w:rFonts w:eastAsia="Calibri" w:cs="David" w:ascii="David" w:hAnsi="David"/>
          <w:rtl w:val="true"/>
        </w:rPr>
        <w:t xml:space="preserve">); 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8900/21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מחאג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עונש מאסר בפועל לתקופה של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בגין עבירות הקשורות לנשק התקפי הוא ברף הנמוך של הענישה הראויה </w:t>
      </w:r>
      <w:r>
        <w:rPr>
          <w:rFonts w:eastAsia="Calibri" w:cs="David" w:ascii="David" w:hAnsi="David"/>
          <w:rtl w:val="true"/>
        </w:rPr>
        <w:t>(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וכפי שקבעתי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המסר העונשי הנגזר ממדיניות הענישה האמורה הוא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נפשו ושלומו – 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78/21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מדיניות הענישה המחמירה חלה על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כל חוליית השרשרת העבריינית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ממי שסוחר בנשק לא חוקי או רכיביו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ועד למי שנוטל אותו לידו ועושה בו שימוש לא חוקי </w:t>
      </w:r>
      <w:r>
        <w:rPr>
          <w:rFonts w:eastAsia="Calibri"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אבו עבסה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ממדי התופעה של העבירות בנשק והצורך לנהל נגדה מלחמת חורמה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התגייס אף המחוקק למלחמה זו בדרך של תיקון 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תיקון זה נועד להחמיר בענישה אגב קביעת עונשי מינימום לעבירות בנשק 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כי בתקופה של שלוש שנים מיום פרסומו של התיקון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שהורשע בעבירות המנויות </w:t>
      </w:r>
      <w:hyperlink r:id="rId34">
        <w:r>
          <w:rPr>
            <w:rStyle w:val="Hyperlink"/>
            <w:rFonts w:ascii="David" w:hAnsi="David" w:eastAsia="Calibri"/>
            <w:color w:val="0000FF"/>
            <w:rtl w:val="true"/>
          </w:rPr>
          <w:t>בסעיף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נקבע כי עונש מאסר על פי אותו סעיף לא יהא כולו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בהיעדר טעמים מיוחדים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חקיקה זו מעידה על ההחמרה שבה ראה גם המחוקק לנקוט ביחס לעבירות בנשק באשר הן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הנסיבות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נתתי דעתי לעובדה כי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יחד עם המעורבים האחרים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תכננו תכנית לפיה יבצע חוסין ירי לעבר בית משפחת סניור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מדובר בסיוע לנשיאה והובלה המתבטא בהימצאות אקראית עם מי שנשא והוביל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לא מדובר בסיוע לירי באזור מגורים שנעשה מבלי שהמסייע היה מודע מראש לכוונה לבצע את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בענייננו היה הנאשם בלב התכנית העבריינית שמטרתה ביצוע ירי לעבר ביתם של המתלוננים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חלקו התבטא בסיוע לביצוע העבירה ולא הוא שביצע את העבירה המוגמרת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בידי לקבל את טענת הסנגור כי חלקו היה שולי או זניח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נהפוך הוא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מעובדות כתב האישום עולה בבירור כי הנאשם היה למן ההתחלה חלק מהתכנית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במסגרתה סוכם כי חוסין יבצע ירי לעבר בית משפחת סניור בעוד הנאשם יסייע לו בכך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זו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שבהגיעם של המעורבים למתחם בית משפחת סניור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הסתובב הנאשם יחד עם האחרים באזור הבית כהכנה לקראת מימוש תכנית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העובדה שהנאשם התרחק מזירת האירוע בזמן שחוסין התקדם אל עבר בית משפחת סניור כדי לבצע את 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בה כדי להקהות מחומרת מעשיו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הנזק שנגרם כתוצאה מביצוע העבירות בענייננו הוא אמנם נזק רכושי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המתבטא בנזק לכבל החשמלי בבית משפחת סניור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פוטנציאל הנזק הוא עצום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בשים לב לכך שבסמוך לזירת הירי נכחו המתלוננים ומתגוררים גם אנשים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והן בהתחשב בכך שהפגיעה בכבל החשמלי עלולה הייתה להוביל להתלקחות אש ובמקרה זה אין לדעת כיצד היה האירוע מסתיים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מדיניות הענישה הנוהגת לגבי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רואה להפנות ל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פלוני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14.9.2022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שם נאמר כי מתחם העונש ההולם שראוי לקבוע לגבי נאשם בגיר שהורשע בנשיאה של נשק חם באופן בלתי חוקי במרחב הציבורי נע בין </w:t>
      </w:r>
      <w:r>
        <w:rPr>
          <w:rFonts w:eastAsia="Calibri" w:cs="David" w:ascii="David" w:hAnsi="David"/>
        </w:rPr>
        <w:t>42-30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העבירה של ירי באזור מגורים היא חמורה אף יותר ומתחמי הענישה שנקבעו בפסיקה בנוגע אליה הם מחמירים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להלן מספר דוגמאות המשקפות 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ביחס לעבירה של נשיאה והובלה של נשק והן ביחס לירי באזור מגורים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למותר לציין כי מדובר בפסקי דין המתייחסים לעבירה המוגמרת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שבענייננו מדובר בשתי עבירות סיוע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העונש בגין עבירות הסיוע יש לגזור מהענישה הנהוגה המוטלת בגין העבירה המוגמרת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5681/23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חווא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6.12.2023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בעבירה של החזקה ונשיאה של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עובדות כתב האישום באותו 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כשנה וחצי עובר למועד הרלוונטי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 המערער אקדח טעון במחסנית התואמת לו ובתוכה שישה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3.10.2022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יצא המערער מביתו כשהוא מחזיק ונושא את האקדח טעון במחסנית ובכדורים וכשהנשק מוסתר בבגדיו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והלך יחד עם אשתו לכיוון רכבו שחנה בסמוך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שוטרים שהיו בתצפית יזומה עליו הבחינו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שזיהה אותם הוא החל לברוח מפניהם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הורו לו השוטרים לעצור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נענה להם המערער ותוך כדי הימלטותו הוציא את האקדח והחזיקו בידו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שלף אחד השוטרים את נשקו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אותו וכיוון אותו לעבר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שאז הוא נעצר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אישר את העונש שהושת על ידי בית המשפט המחוזי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שכלל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כי העונש שנגזר על המערער אינו מחמיר עמו ואולי אף מקל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מסאלחה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בעבירות של סיוע לנשיאה והובלה של 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כלי נשק וכן סיוע לירי מנשק 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עובדות כתב האישום באותו 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נהג המערער ברכב כשאדם אחר יושב במושב שלידו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אחריהם נסע צוות בילוש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לפתע הוציא האחר את ידו מהחלון וירה ירייה אחת מאקדח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המערער עצר את הרכב בהמשך בצד הדרך והבלשים שחסמו אותו ביצעו חיפוש במהלכו נתפסו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בכיס מכנסיו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האקדח נתפס ברכב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הנע בין </w:t>
      </w:r>
      <w:r>
        <w:rPr>
          <w:rFonts w:eastAsia="Calibri" w:cs="David" w:ascii="David" w:hAnsi="David"/>
        </w:rPr>
        <w:t>36-18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והשית על המערער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 על ידי בית המשפט העליון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309/22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ביאדסה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10.5.2022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שני 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מדובר היה במי שנסע ברכב כשהוא מוביל רובה מסוג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תואמת ובה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וכן אקדח חצי אוטומטי טעון במחסנית תואמת המכילה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ומחסנית נוספת שמכילה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גזר על המשיב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העליון התערב בקולת העונש והעמידו על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color w:val="000000"/>
          <w:rtl w:val="true"/>
        </w:rPr>
        <w:tab/>
      </w:r>
      <w:r>
        <w:rPr>
          <w:rFonts w:ascii="Calibri" w:hAnsi="Calibri" w:eastAsia="Calibri" w:cs="Calibri"/>
          <w:color w:val="000000"/>
          <w:rtl w:val="true"/>
        </w:rPr>
        <w:t>ב</w:t>
      </w:r>
      <w:hyperlink r:id="rId4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6068/21</w:t>
        </w:r>
      </w:hyperlink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color w:val="000000"/>
          <w:rtl w:val="true"/>
        </w:rPr>
        <w:t>אברהים פקיה</w:t>
      </w:r>
      <w:r>
        <w:rPr>
          <w:rFonts w:ascii="Calibri" w:hAnsi="Calibri" w:eastAsia="Calibri" w:cs="Calibri"/>
          <w:color w:val="000000"/>
          <w:rtl w:val="true"/>
        </w:rPr>
        <w:t xml:space="preserve"> </w:t>
      </w:r>
      <w:r>
        <w:rPr>
          <w:rFonts w:eastAsia="Calibri" w:cs="Calibri" w:ascii="Calibri" w:hAnsi="Calibri"/>
          <w:color w:val="000000"/>
          <w:rtl w:val="true"/>
        </w:rPr>
        <w:t>(</w:t>
      </w:r>
      <w:r>
        <w:rPr>
          <w:rFonts w:eastAsia="Calibri" w:cs="Calibri" w:ascii="Calibri" w:hAnsi="Calibri"/>
          <w:color w:val="000000"/>
        </w:rPr>
        <w:t>19.12.2021</w:t>
      </w:r>
      <w:r>
        <w:rPr>
          <w:rFonts w:eastAsia="Calibri" w:cs="Calibri" w:ascii="Calibri" w:hAnsi="Calibri"/>
          <w:color w:val="000000"/>
          <w:rtl w:val="true"/>
        </w:rPr>
        <w:t xml:space="preserve">) </w:t>
      </w:r>
      <w:r>
        <w:rPr>
          <w:rFonts w:ascii="Calibri" w:hAnsi="Calibri" w:eastAsia="Calibri" w:cs="Calibri"/>
          <w:color w:val="000000"/>
          <w:rtl w:val="true"/>
        </w:rPr>
        <w:t>נדון עניינו של מי שהורשע בעבירה של נשיאה והובלה של כלי נשק וביצוע ירי באזור מגורים</w:t>
      </w:r>
      <w:r>
        <w:rPr>
          <w:rFonts w:eastAsia="Calibri"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rtl w:val="true"/>
        </w:rPr>
        <w:t xml:space="preserve">בית המשפט המחוזי קבע מתחם שנע בין </w:t>
      </w:r>
      <w:r>
        <w:rPr>
          <w:rFonts w:eastAsia="Calibri" w:cs="Calibri" w:ascii="Calibri" w:hAnsi="Calibri"/>
          <w:color w:val="000000"/>
        </w:rPr>
        <w:t>14</w:t>
      </w:r>
      <w:r>
        <w:rPr>
          <w:rFonts w:eastAsia="Calibri" w:cs="Calibri" w:ascii="Calibri" w:hAnsi="Calibri"/>
          <w:color w:val="000000"/>
          <w:rtl w:val="true"/>
        </w:rPr>
        <w:t xml:space="preserve"> - </w:t>
      </w:r>
      <w:r>
        <w:rPr>
          <w:rFonts w:eastAsia="Calibri" w:cs="Calibri" w:ascii="Calibri" w:hAnsi="Calibri"/>
          <w:color w:val="000000"/>
        </w:rPr>
        <w:t>36</w:t>
      </w:r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color w:val="000000"/>
          <w:rtl w:val="true"/>
        </w:rPr>
        <w:t xml:space="preserve">חודשי מאסר וגזר על המשיב </w:t>
      </w:r>
      <w:r>
        <w:rPr>
          <w:rFonts w:eastAsia="Calibri" w:cs="Calibri" w:ascii="Calibri" w:hAnsi="Calibri"/>
          <w:color w:val="000000"/>
        </w:rPr>
        <w:t>14</w:t>
      </w:r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color w:val="000000"/>
          <w:rtl w:val="true"/>
        </w:rPr>
        <w:t>חודשי מאסר לריצוי בפועל</w:t>
      </w:r>
      <w:r>
        <w:rPr>
          <w:rFonts w:eastAsia="Calibri"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rtl w:val="true"/>
        </w:rPr>
        <w:t xml:space="preserve">ערעור המדינה על קולת העונש התקבל ובית המשפט העליון העמיד את עונשו של המשיב על </w:t>
      </w:r>
      <w:r>
        <w:rPr>
          <w:rFonts w:eastAsia="Calibri" w:cs="Calibri" w:ascii="Calibri" w:hAnsi="Calibri"/>
          <w:color w:val="000000"/>
        </w:rPr>
        <w:t>25</w:t>
      </w:r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color w:val="000000"/>
          <w:rtl w:val="true"/>
        </w:rPr>
        <w:t>חודשי מאסר</w:t>
      </w:r>
      <w:r>
        <w:rPr>
          <w:rFonts w:eastAsia="Calibri"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rtl w:val="true"/>
        </w:rPr>
        <w:t>תוך שהדגיש את הכלל לפיו ערכאת הערעור אינה נוהגת למצות את הדין</w:t>
      </w:r>
      <w:r>
        <w:rPr>
          <w:rFonts w:eastAsia="Calibri" w:cs="Calibri" w:ascii="Calibri" w:hAnsi="Calibri"/>
          <w:color w:val="000000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start="567" w:end="0"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26.5.2021</w:t>
      </w:r>
      <w:r>
        <w:rPr>
          <w:rtl w:val="true"/>
        </w:rPr>
        <w:t xml:space="preserve">) -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start="567" w:end="0"/>
        <w:jc w:val="both"/>
        <w:rPr/>
      </w:pP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21.6.2021</w:t>
      </w:r>
      <w:r>
        <w:rPr>
          <w:rtl w:val="true"/>
        </w:rPr>
        <w:t xml:space="preserve">) -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 xml:space="preserve">) -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בהביאי בחשבון את הערכים החברתיים שנפגעו כתוצאה מביצוע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נסיבות ביצוען ואת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 זאת מגמת ההחמרה הניכרת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סבור כי מתחם העונש ההולם במקרה דידן מצוי בטווח שבין </w:t>
      </w:r>
      <w:r>
        <w:rPr>
          <w:rFonts w:eastAsia="Calibri" w:cs="David" w:ascii="David" w:hAnsi="David"/>
        </w:rPr>
        <w:t>40-20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 בתוך המתחם שנקבע לגביו נתתי דעתי לגילו הצעיר בעת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ולעובדה שהוא נעדר כל הרשעות קודמות וזו הסתבכותו הראשונה עם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כמו כן הבאתי בחשבון את הודאתו בשלב מוקדם של 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המבטאת נטילת אחריות מצדו על מעשיו והביאה גם לחסכון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גם להתחשב בנסיבותיו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מצבו הרפואי והקוגניטיבי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נכון שאין הוא מצוי בקרבה לסייג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ניתן להתעלם מכך שמדובר במי שסובל מקשיים קוגניטיביים על רקע נזק אורגני למוח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קשיים המצטרפים ליכולות מונמכות ממילא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מאפייניו האישיותיים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שעולה מדו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וועדת האבחון שהונח בפניי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 מצאתי כל מקום לחרוג לקולא ממתחם העונש כפי שביקש הסנגור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כפי שצוין מצבו הקוגניטיבי  של הנאשם אינו מצוי בקרבה לסייג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ומצבו הרפואי אינו מצדיק חריגה מטעמי צדק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חריגה מעין זו שמורה לנסיבות ייחודיות ויוצאות דופן שאינן מתקיימות בענייננו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יסוד מקבץ הטעמים והשיקולים שמניתי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בניכוי ימי מעצרו מיום </w:t>
      </w:r>
      <w:r>
        <w:rPr>
          <w:rFonts w:eastAsia="Calibri" w:cs="David" w:ascii="David" w:hAnsi="David"/>
        </w:rPr>
        <w:t>13.4.2023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פיצוי למתלונן סניור עמאש בסך </w:t>
      </w:r>
      <w:r>
        <w:rPr>
          <w:rFonts w:eastAsia="Calibri" w:cs="David" w:ascii="David" w:hAnsi="David"/>
        </w:rPr>
        <w:t>3,000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שישולם באמצעות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 בשלושה שיעורים חודשיים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שווים ורצופים כאשר מועד תשלום השיעור הראשון יחול ביום </w:t>
      </w:r>
      <w:r>
        <w:rPr>
          <w:rFonts w:eastAsia="Calibri" w:cs="David" w:ascii="David" w:hAnsi="David"/>
        </w:rPr>
        <w:t>1.3.2024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ויתר התשלומים ב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לכל חודש עוקב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שולם אחד התשלומים במלואו או במועדו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תעמוד כל היתרה לפירעון מידי בתוספת ריבית פיגורים על פי דין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51209-04-23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מיל עמאש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3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40a.b.1." TargetMode="External"/><Relationship Id="rId11" Type="http://schemas.openxmlformats.org/officeDocument/2006/relationships/hyperlink" Target="http://www.nevo.co.il/law/70301/340a.b.2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0a.b.1.;340a.b.2" TargetMode="External"/><Relationship Id="rId18" Type="http://schemas.openxmlformats.org/officeDocument/2006/relationships/hyperlink" Target="http://www.nevo.co.il/law/70301/3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3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9486731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case/28452933" TargetMode="External"/><Relationship Id="rId28" Type="http://schemas.openxmlformats.org/officeDocument/2006/relationships/hyperlink" Target="http://www.nevo.co.il/case/28660017" TargetMode="External"/><Relationship Id="rId29" Type="http://schemas.openxmlformats.org/officeDocument/2006/relationships/hyperlink" Target="http://www.nevo.co.il/case/29564821" TargetMode="External"/><Relationship Id="rId30" Type="http://schemas.openxmlformats.org/officeDocument/2006/relationships/hyperlink" Target="http://www.nevo.co.il/case/28207045" TargetMode="External"/><Relationship Id="rId31" Type="http://schemas.openxmlformats.org/officeDocument/2006/relationships/hyperlink" Target="http://www.nevo.co.il/case/28697227" TargetMode="External"/><Relationship Id="rId32" Type="http://schemas.openxmlformats.org/officeDocument/2006/relationships/hyperlink" Target="http://www.nevo.co.il/case/27734980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883087" TargetMode="External"/><Relationship Id="rId37" Type="http://schemas.openxmlformats.org/officeDocument/2006/relationships/hyperlink" Target="http://www.nevo.co.il/case/29867910" TargetMode="External"/><Relationship Id="rId38" Type="http://schemas.openxmlformats.org/officeDocument/2006/relationships/hyperlink" Target="http://www.nevo.co.il/case/28660017" TargetMode="External"/><Relationship Id="rId39" Type="http://schemas.openxmlformats.org/officeDocument/2006/relationships/hyperlink" Target="http://www.nevo.co.il/case/28243273" TargetMode="External"/><Relationship Id="rId40" Type="http://schemas.openxmlformats.org/officeDocument/2006/relationships/hyperlink" Target="http://www.nevo.co.il/case/27915710" TargetMode="External"/><Relationship Id="rId41" Type="http://schemas.openxmlformats.org/officeDocument/2006/relationships/hyperlink" Target="http://www.nevo.co.il/case/27436592" TargetMode="External"/><Relationship Id="rId42" Type="http://schemas.openxmlformats.org/officeDocument/2006/relationships/hyperlink" Target="http://www.nevo.co.il/case/27603872" TargetMode="External"/><Relationship Id="rId43" Type="http://schemas.openxmlformats.org/officeDocument/2006/relationships/hyperlink" Target="http://www.nevo.co.il/case/26492590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2024-02-11T13:58:00Z</dcterms:created>
  <dc:creator> </dc:creator>
  <dc:description/>
  <cp:keywords/>
  <dc:language>en-IL</dc:language>
  <cp:lastModifiedBy>h1</cp:lastModifiedBy>
  <dcterms:modified xsi:type="dcterms:W3CDTF">2024-02-11T13:58:00Z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ג'מיל עמאש;זייד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SLISTTMP1">
    <vt:lpwstr>29486731;25824863;28452933;28660017:2;29564821;28207045;28697227;27734980;28883087;29867910;28243273;27915710;27436592;27603872;26492590</vt:lpwstr>
  </property>
  <property fmtid="{D5CDD505-2E9C-101B-9397-08002B2CF9AE}" pid="10" name="CITY">
    <vt:lpwstr>חי'</vt:lpwstr>
  </property>
  <property fmtid="{D5CDD505-2E9C-101B-9397-08002B2CF9AE}" pid="11" name="DATE">
    <vt:lpwstr>20240207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אמיר טובי</vt:lpwstr>
  </property>
  <property fmtid="{D5CDD505-2E9C-101B-9397-08002B2CF9AE}" pid="15" name="LAWLISTTMP1">
    <vt:lpwstr>70301/144.a;144.b;031:2;029:2;340a.b.1;340a.b.2;033;040i;144</vt:lpwstr>
  </property>
  <property fmtid="{D5CDD505-2E9C-101B-9397-08002B2CF9AE}" pid="16" name="LAWYER">
    <vt:lpwstr>לינה מטר;מוחמד מסארווה 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51209</vt:lpwstr>
  </property>
  <property fmtid="{D5CDD505-2E9C-101B-9397-08002B2CF9AE}" pid="23" name="NEWPARTB">
    <vt:lpwstr>04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390020240207</vt:lpwstr>
  </property>
  <property fmtid="{D5CDD505-2E9C-101B-9397-08002B2CF9AE}" pid="35" name="TYPE_N_DATE">
    <vt:lpwstr>39020240207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