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5127-06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שלוחת איילון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עגלוני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נשיא אברהם הימן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שלוחת איילון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שאדי עגלוני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מרקי אפריאט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דקה מטעם הסנ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צ </w:t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David"/>
        <w:ind w:end="0"/>
        <w:jc w:val="both"/>
        <w:rPr/>
      </w:pPr>
      <w:bookmarkStart w:id="6" w:name="ABSTRACT_START"/>
      <w:bookmarkEnd w:id="6"/>
      <w:r>
        <w:rPr>
          <w:rtl w:val="true"/>
        </w:rPr>
        <w:t>אין ספק ואין חולק על כך שהעבירה שביצע הנאשם עבירה חמורה היא</w:t>
      </w:r>
      <w:r>
        <w:rPr>
          <w:rtl w:val="true"/>
        </w:rPr>
        <w:t xml:space="preserve">, </w:t>
      </w:r>
      <w:r>
        <w:rPr>
          <w:rtl w:val="true"/>
        </w:rPr>
        <w:t>למעשה מדובר בנסיון לגנוב רכב</w:t>
      </w:r>
      <w:r>
        <w:rPr>
          <w:rtl w:val="true"/>
        </w:rPr>
        <w:t xml:space="preserve">, </w:t>
      </w:r>
      <w:r>
        <w:rPr>
          <w:rtl w:val="true"/>
        </w:rPr>
        <w:t>ההגדרה החוקית דהיינו שימוש ברכב ללא רשות אין בה תמיד וגם במקרה זה כדי לבטא את מהות המעשה</w:t>
      </w:r>
      <w:r>
        <w:rPr>
          <w:rtl w:val="true"/>
        </w:rPr>
        <w:t xml:space="preserve">.  </w:t>
      </w:r>
      <w:r>
        <w:rPr>
          <w:rtl w:val="true"/>
        </w:rPr>
        <w:t>משום כך</w:t>
      </w:r>
      <w:r>
        <w:rPr>
          <w:rtl w:val="true"/>
        </w:rPr>
        <w:t xml:space="preserve">, </w:t>
      </w:r>
      <w:r>
        <w:rPr>
          <w:rtl w:val="true"/>
        </w:rPr>
        <w:t>יש ממש בדברי התובע שיש להחמיר בענישתו של הנאשם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bookmarkStart w:id="7" w:name="ABSTRACT_END"/>
      <w:bookmarkEnd w:id="7"/>
      <w:r>
        <w:rPr>
          <w:rtl w:val="true"/>
        </w:rPr>
        <w:t>אודה על האמת שבעת שהחלו להשמע הטיעונים לעונש תמוה בעיני היה שקיימת מחלוקת ואסביר</w:t>
      </w:r>
      <w:r>
        <w:rPr>
          <w:rtl w:val="true"/>
        </w:rPr>
        <w:t xml:space="preserve">, </w:t>
      </w:r>
      <w:r>
        <w:rPr>
          <w:rtl w:val="true"/>
        </w:rPr>
        <w:t>המקרה שלפני הוא מקרה גבול בין הטלת מאסר בפועל אם לאו</w:t>
      </w:r>
      <w:r>
        <w:rPr>
          <w:rtl w:val="true"/>
        </w:rPr>
        <w:t xml:space="preserve">. </w:t>
      </w:r>
      <w:r>
        <w:rPr>
          <w:rtl w:val="true"/>
        </w:rPr>
        <w:t>עוד אוסיף ואומר  שכל המעיין בפרוטוקול שבתיק זה</w:t>
      </w:r>
      <w:r>
        <w:rPr>
          <w:rtl w:val="true"/>
        </w:rPr>
        <w:t xml:space="preserve">, </w:t>
      </w:r>
      <w:r>
        <w:rPr>
          <w:rtl w:val="true"/>
        </w:rPr>
        <w:t>בוודאי יווכח שהחלטתי לעשות מאמץ ולהקל עם הנאשם</w:t>
      </w:r>
      <w:r>
        <w:rPr>
          <w:rtl w:val="true"/>
        </w:rPr>
        <w:t xml:space="preserve">. </w:t>
      </w:r>
      <w:r>
        <w:rPr>
          <w:rtl w:val="true"/>
        </w:rPr>
        <w:t>החלטתי לעשות כן משום עובדה חשובה והיא הודיית הנאשם בעובדות כתב אישום מתוקן בכך שחסך זמן שיפוטי יקר ויש בכך אף משום הודיה והפנמת מעשה</w:t>
      </w:r>
      <w:r>
        <w:rPr>
          <w:rtl w:val="true"/>
        </w:rPr>
        <w:t xml:space="preserve">. </w:t>
      </w:r>
      <w:r>
        <w:rPr>
          <w:rtl w:val="true"/>
        </w:rPr>
        <w:t>במקרה דנן נוסף לשיקול לקולא זה מצוי לפני תסקיר שרות המבחן ולמרות שמתוך התסקיר עולים היסוסיה של ק</w:t>
      </w:r>
      <w:r>
        <w:rPr>
          <w:rtl w:val="true"/>
        </w:rPr>
        <w:t xml:space="preserve">. </w:t>
      </w:r>
      <w:r>
        <w:rPr>
          <w:rtl w:val="true"/>
        </w:rPr>
        <w:t>המבחן סופו של דבר הקו המנחה בתסקיר הוא קו חיובי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משום  נסיבות אלה יש מקום להמנע מגזירת מאסר בפועל ממש על הנאשם</w:t>
      </w:r>
      <w:r>
        <w:rPr>
          <w:rtl w:val="true"/>
        </w:rPr>
        <w:t xml:space="preserve">, </w:t>
      </w:r>
      <w:r>
        <w:rPr>
          <w:rtl w:val="true"/>
        </w:rPr>
        <w:t>אלא להשית עליו עונש של מאסר שירוצה בעבודות שרות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השאלה היא בנסיבות אלה אורך המאסר שירוצה כאמור בעבודות שרות</w:t>
      </w:r>
      <w:r>
        <w:rPr>
          <w:rtl w:val="true"/>
        </w:rPr>
        <w:t xml:space="preserve">,  </w:t>
      </w:r>
      <w:r>
        <w:rPr>
          <w:rtl w:val="true"/>
        </w:rPr>
        <w:t>וזו גדר ההתלבטות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לאחר שאני שוקל כל השיקולים הצריכים לפני ומשום שהמקרה גבולי הוא כפי שציינתי לעיל</w:t>
      </w:r>
      <w:r>
        <w:rPr>
          <w:rtl w:val="true"/>
        </w:rPr>
        <w:t xml:space="preserve">, </w:t>
      </w:r>
      <w:r>
        <w:rPr>
          <w:rtl w:val="true"/>
        </w:rPr>
        <w:t>אני סבור שגזירת דין למאסר שתפחת מ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היא מעשה לא ראוי ולא נכון כמעשה ענישה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בנסיבות המקרה העונש המקסימלי שניתן לרצות בעבודות שרות הוא העונש הראוי ואני קובע כך</w:t>
      </w:r>
      <w:r>
        <w:rPr>
          <w:rtl w:val="true"/>
        </w:rPr>
        <w:t xml:space="preserve">, </w:t>
      </w:r>
      <w:r>
        <w:rPr>
          <w:rtl w:val="true"/>
        </w:rPr>
        <w:t>אף על פי ההתלבטות שהיתה לי בעת שמיעת הטיעונים לעונש ולאחר שגיבשתי דעתי באשר לעונש הראוי בסופו של יום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אלה העונשים שאני משית על הנאשם</w:t>
      </w:r>
      <w:r>
        <w:rPr>
          <w:rtl w:val="true"/>
        </w:rPr>
        <w:t>: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/>
        <w:t>6</w:t>
      </w:r>
      <w:r>
        <w:rPr>
          <w:rtl w:val="true"/>
        </w:rPr>
        <w:t xml:space="preserve"> 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  <w:t>עונש המאסר ירוצה בעבודות שרות</w:t>
      </w:r>
      <w:r>
        <w:rPr>
          <w:rtl w:val="true"/>
        </w:rPr>
        <w:t xml:space="preserve">. </w:t>
      </w:r>
      <w:r>
        <w:rPr>
          <w:rtl w:val="true"/>
        </w:rPr>
        <w:t>כפי חוות דעתו של הממונה על עבודות שרות</w:t>
      </w:r>
      <w:r>
        <w:rPr>
          <w:rtl w:val="true"/>
        </w:rPr>
        <w:t xml:space="preserve">, </w:t>
      </w:r>
      <w:r>
        <w:rPr>
          <w:rtl w:val="true"/>
        </w:rPr>
        <w:t xml:space="preserve">דהיינו בבית החייל בירושלים רחוב שאלתיאל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תחילת העבודות ביום </w:t>
      </w:r>
      <w:r>
        <w:rPr/>
        <w:t>24/2/2010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 xml:space="preserve">על הנאשם להתייצב ביום זה עד 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במפקדת מחוז דרום</w:t>
      </w:r>
      <w:r>
        <w:rPr>
          <w:rtl w:val="true"/>
        </w:rPr>
        <w:t xml:space="preserve">, </w:t>
      </w:r>
      <w:r>
        <w:rPr>
          <w:rtl w:val="true"/>
        </w:rPr>
        <w:t>יחידת עבודות שרות בבאר שבע</w:t>
      </w:r>
      <w:r>
        <w:rPr>
          <w:rtl w:val="true"/>
        </w:rPr>
        <w:t xml:space="preserve">, </w:t>
      </w:r>
      <w:r>
        <w:rPr>
          <w:rtl w:val="true"/>
        </w:rPr>
        <w:t>ליד כלא באר שבע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 xml:space="preserve">  </w:t>
      </w:r>
      <w:r>
        <w:rPr>
          <w:rtl w:val="true"/>
        </w:rPr>
        <w:t>חודשי מאסר על תנאי והתנאי הוא שבמשך שלוש שנים מהיום  לא יעבור הנאשם עבירה כנגד 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המקרה</w:t>
      </w:r>
      <w:r>
        <w:rPr>
          <w:rtl w:val="true"/>
        </w:rPr>
        <w:t xml:space="preserve">, </w:t>
      </w:r>
      <w:r>
        <w:rPr>
          <w:rtl w:val="true"/>
        </w:rPr>
        <w:t>נוכח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אינני גוזר על הנאשם עונש של 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double"/>
        </w:rPr>
      </w:pPr>
      <w:r>
        <w:rPr>
          <w:u w:val="double"/>
          <w:rtl w:val="true"/>
        </w:rPr>
        <w:t>על המזכירות לשלוח העתק החלטה זו לממונה על עבודות השרות</w:t>
      </w:r>
      <w:r>
        <w:rPr>
          <w:u w:val="doub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double"/>
        </w:rPr>
      </w:pPr>
      <w:r>
        <w:rPr>
          <w:u w:val="doub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טבת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21/12/2009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ניתנה והודעה היום 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טבת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21/12/2009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אברהם הימן </w:t>
      </w:r>
      <w:r>
        <w:rPr>
          <w:color w:val="000000"/>
          <w:sz w:val="22"/>
          <w:szCs w:val="22"/>
        </w:rPr>
        <w:t>54678313-5127/06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</w:p>
    <w:tbl>
      <w:tblPr>
        <w:bidiVisual w:val="true"/>
        <w:tblW w:w="3420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</w:tblGrid>
      <w:tr>
        <w:trPr>
          <w:cantSplit w:val="true"/>
        </w:trPr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יפעת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מינאי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2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/Users/liorb/Downloads/study2025-p2/SH-06-5127-267.doc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ראשל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צ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5127-06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תביעות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 שלוחת איילון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שאדי עגלוני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2009-12-21T23:11:00Z</dcterms:created>
  <dc:creator> </dc:creator>
  <dc:description/>
  <cp:keywords/>
  <dc:language>en-IL</dc:language>
  <cp:lastModifiedBy>comp</cp:lastModifiedBy>
  <dcterms:modified xsi:type="dcterms:W3CDTF">2009-12-22T12:37:00Z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תביעות ת#א שלוחת איילון</vt:lpwstr>
  </property>
  <property fmtid="{D5CDD505-2E9C-101B-9397-08002B2CF9AE}" pid="3" name="APPELLEE">
    <vt:lpwstr>שאדי עגלוני</vt:lpwstr>
  </property>
  <property fmtid="{D5CDD505-2E9C-101B-9397-08002B2CF9AE}" pid="4" name="CITY">
    <vt:lpwstr>ראשל"צ</vt:lpwstr>
  </property>
  <property fmtid="{D5CDD505-2E9C-101B-9397-08002B2CF9AE}" pid="5" name="DATE">
    <vt:lpwstr>20091221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אברהם הימן</vt:lpwstr>
  </property>
  <property fmtid="{D5CDD505-2E9C-101B-9397-08002B2CF9AE}" pid="9" name="LAWYER">
    <vt:lpwstr>מרקי אפריאט;דקה הסנ#צ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5127</vt:lpwstr>
  </property>
  <property fmtid="{D5CDD505-2E9C-101B-9397-08002B2CF9AE}" pid="23" name="NEWPARTB">
    <vt:lpwstr/>
  </property>
  <property fmtid="{D5CDD505-2E9C-101B-9397-08002B2CF9AE}" pid="24" name="NEWPARTC">
    <vt:lpwstr>06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5127</vt:lpwstr>
  </property>
  <property fmtid="{D5CDD505-2E9C-101B-9397-08002B2CF9AE}" pid="31" name="PROCYEAR">
    <vt:lpwstr>06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06 5127 267 htm</vt:lpwstr>
  </property>
  <property fmtid="{D5CDD505-2E9C-101B-9397-08002B2CF9AE}" pid="34" name="TYPE">
    <vt:lpwstr>3</vt:lpwstr>
  </property>
  <property fmtid="{D5CDD505-2E9C-101B-9397-08002B2CF9AE}" pid="35" name="TYPE_ABS_DATE">
    <vt:lpwstr>380020091221</vt:lpwstr>
  </property>
  <property fmtid="{D5CDD505-2E9C-101B-9397-08002B2CF9AE}" pid="36" name="TYPE_N_DATE">
    <vt:lpwstr>38020091221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