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משפט השלום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51301-10-14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טנצר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 שמואל מלמד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/>
              <w:t>51315-10-14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צלי טנצר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  <w:b/>
          <w:b/>
          <w:bCs/>
          <w:rtl w:val="true"/>
        </w:rPr>
        <w:t>נוכחים</w:t>
      </w:r>
      <w:r>
        <w:rPr>
          <w:rFonts w:eastAsia="Times New Roman"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Times New Roman" w:hAnsi="Times New Roman" w:eastAsia="Times New Roman" w:cs="Times New Roman"/>
          <w:b/>
          <w:bCs/>
        </w:rPr>
      </w:pPr>
      <w:bookmarkStart w:id="2" w:name="FirstLawyer"/>
      <w:r>
        <w:rPr>
          <w:rFonts w:ascii="Times New Roman" w:hAnsi="Times New Roman" w:eastAsia="Times New Roman" w:cs="Times New Roman"/>
          <w:b/>
          <w:b/>
          <w:bCs/>
          <w:rtl w:val="true"/>
        </w:rPr>
        <w:t>ב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כ</w:t>
      </w:r>
      <w:bookmarkEnd w:id="2"/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התביעה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: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עו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ד אבירן אסבן ועו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ד טל הוד</w:t>
      </w:r>
    </w:p>
    <w:p>
      <w:pPr>
        <w:pStyle w:val="Normal"/>
        <w:spacing w:lineRule="auto" w:line="360"/>
        <w:ind w:end="0"/>
        <w:jc w:val="start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  <w:b/>
          <w:b/>
          <w:bCs/>
          <w:rtl w:val="true"/>
        </w:rPr>
        <w:t>ב</w:t>
      </w:r>
      <w:r>
        <w:rPr>
          <w:rFonts w:eastAsia="Times New Roman" w:cs="Arial" w:ascii="Arial" w:hAnsi="Arial"/>
          <w:b/>
          <w:bCs/>
          <w:rtl w:val="true"/>
        </w:rPr>
        <w:t>"</w:t>
      </w:r>
      <w:r>
        <w:rPr>
          <w:rFonts w:ascii="Arial" w:hAnsi="Arial" w:eastAsia="Times New Roman" w:cs="Arial"/>
          <w:b/>
          <w:b/>
          <w:bCs/>
          <w:rtl w:val="true"/>
        </w:rPr>
        <w:t>כ הנאשם עו</w:t>
      </w:r>
      <w:r>
        <w:rPr>
          <w:rFonts w:eastAsia="Times New Roman" w:cs="Arial" w:ascii="Arial" w:hAnsi="Arial"/>
          <w:b/>
          <w:bCs/>
          <w:rtl w:val="true"/>
        </w:rPr>
        <w:t>"</w:t>
      </w:r>
      <w:r>
        <w:rPr>
          <w:rFonts w:ascii="Arial" w:hAnsi="Arial" w:eastAsia="Times New Roman" w:cs="Arial"/>
          <w:b/>
          <w:b/>
          <w:bCs/>
          <w:rtl w:val="true"/>
        </w:rPr>
        <w:t xml:space="preserve">ד </w:t>
      </w:r>
      <w:r>
        <w:rPr>
          <w:rFonts w:ascii="Arial" w:hAnsi="Arial" w:eastAsia="Times New Roman" w:cs="Arial"/>
          <w:b/>
          <w:b/>
          <w:bCs/>
          <w:rtl w:val="true"/>
        </w:rPr>
        <w:t>יקי קהן</w:t>
      </w:r>
    </w:p>
    <w:p>
      <w:pPr>
        <w:pStyle w:val="Normal"/>
        <w:spacing w:lineRule="auto" w:line="360"/>
        <w:ind w:end="0"/>
        <w:jc w:val="both"/>
        <w:rPr>
          <w:rFonts w:eastAsia="Times New Roman"/>
          <w:b/>
          <w:bCs/>
        </w:rPr>
      </w:pPr>
      <w:r>
        <w:rPr>
          <w:rFonts w:ascii="Arial" w:hAnsi="Arial" w:eastAsia="Times New Roman" w:cs="Arial"/>
          <w:b/>
          <w:b/>
          <w:bCs/>
          <w:rtl w:val="true"/>
        </w:rPr>
        <w:t xml:space="preserve">הנאשם  </w:t>
      </w:r>
      <w:r>
        <w:rPr>
          <w:rFonts w:ascii="Arial" w:hAnsi="Arial" w:eastAsia="Times New Roman" w:cs="Arial"/>
          <w:b/>
          <w:b/>
          <w:bCs/>
          <w:rtl w:val="true"/>
        </w:rPr>
        <w:t xml:space="preserve">בעצמו </w:t>
      </w:r>
    </w:p>
    <w:p>
      <w:pPr>
        <w:pStyle w:val="Normal"/>
        <w:spacing w:lineRule="auto" w:line="360"/>
        <w:ind w:end="0"/>
        <w:jc w:val="start"/>
        <w:rPr>
          <w:rFonts w:eastAsia="Times New Roman"/>
          <w:b/>
          <w:bCs/>
        </w:rPr>
      </w:pPr>
      <w:r>
        <w:rPr>
          <w:rFonts w:eastAsia="Times New Roman"/>
          <w:b/>
          <w:bCs/>
          <w:rtl w:val="true"/>
        </w:rPr>
      </w:r>
    </w:p>
    <w:p>
      <w:pPr>
        <w:pStyle w:val="Normal"/>
        <w:snapToGrid w:val="false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3" w:name="LawTable"/>
      <w:bookmarkEnd w:id="3"/>
    </w:p>
    <w:p>
      <w:pPr>
        <w:pStyle w:val="Normal"/>
        <w:snapToGrid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napToGrid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napToGrid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napToGrid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napToGrid w:val="false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Start w:id="5" w:name="LawTable_End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napToGrid w:val="false"/>
        <w:spacing w:lineRule="auto" w:line="360"/>
        <w:ind w:end="0"/>
        <w:jc w:val="both"/>
        <w:rPr>
          <w:lang w:eastAsia="he-IL"/>
        </w:rPr>
      </w:pPr>
      <w:bookmarkStart w:id="6" w:name="PsakDin"/>
      <w:bookmarkStart w:id="7" w:name="ABSTRACT_START"/>
      <w:bookmarkEnd w:id="6"/>
      <w:bookmarkEnd w:id="7"/>
      <w:r>
        <w:rPr>
          <w:rtl w:val="true"/>
          <w:lang w:eastAsia="he-IL"/>
        </w:rPr>
        <w:t xml:space="preserve">ביום </w:t>
      </w:r>
      <w:r>
        <w:rPr>
          <w:lang w:eastAsia="he-IL"/>
        </w:rPr>
        <w:t>22.07.15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 הצדדים להסכמה לפיה הנאשם הודה והורשע בעובדות כתב האישום המתוקן</w:t>
      </w:r>
      <w:r>
        <w:rPr>
          <w:rtl w:val="true"/>
          <w:lang w:eastAsia="he-IL"/>
        </w:rPr>
        <w:t xml:space="preserve">.  </w:t>
      </w:r>
      <w:r>
        <w:rPr>
          <w:rtl w:val="true"/>
          <w:lang w:eastAsia="he-IL"/>
        </w:rPr>
        <w:t xml:space="preserve">הצדדים עתרו במשותף לעונש מאסר של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 ויום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מאסר על תנאי וקנס בניכוי ימי מעצרו מיום </w:t>
      </w:r>
      <w:r>
        <w:rPr>
          <w:lang w:eastAsia="he-IL"/>
        </w:rPr>
        <w:t>22.10.14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ועד </w:t>
      </w:r>
      <w:r>
        <w:rPr>
          <w:lang w:eastAsia="he-IL"/>
        </w:rPr>
        <w:t>09.11.14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eastAsia="he-IL"/>
        </w:rPr>
      </w:pPr>
      <w:r>
        <w:rPr>
          <w:rFonts w:cs="Arial" w:ascii="Arial" w:hAnsi="Arial"/>
          <w:rtl w:val="true"/>
          <w:lang w:eastAsia="he-IL"/>
        </w:rPr>
      </w:r>
      <w:bookmarkStart w:id="8" w:name="ABSTRACT_END"/>
      <w:bookmarkStart w:id="9" w:name="ABSTRACT_END"/>
      <w:bookmarkEnd w:id="9"/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cs="Times New Roman"/>
          <w:lang w:eastAsia="he-IL"/>
        </w:rPr>
      </w:pPr>
      <w:r>
        <w:rPr>
          <w:rtl w:val="true"/>
          <w:lang w:eastAsia="he-IL"/>
        </w:rPr>
        <w:t xml:space="preserve">נוכח הודאתו הנאשם הורשע במיוחס לו בעובדות כתב האישום המותקן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בעבירה של סיוע בהחזקת 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לפי </w:t>
      </w:r>
      <w:hyperlink r:id="rId4">
        <w:r>
          <w:rPr>
            <w:rStyle w:val="Hyperlink"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color w:val="0000FF"/>
            <w:u w:val="single"/>
            <w:lang w:eastAsia="he-IL"/>
          </w:rPr>
          <w:t>144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5">
        <w:r>
          <w:rPr>
            <w:rStyle w:val="Hyperlink"/>
            <w:rtl w:val="true"/>
            <w:lang w:eastAsia="he-IL"/>
          </w:rPr>
          <w:t>חוק</w:t>
        </w:r>
        <w:r>
          <w:rPr>
            <w:rStyle w:val="Hyperlink"/>
            <w:rtl w:val="true"/>
            <w:lang w:eastAsia="he-IL"/>
          </w:rPr>
          <w:t xml:space="preserve"> העונשין</w:t>
        </w:r>
      </w:hyperlink>
      <w:r>
        <w:rPr>
          <w:rtl w:val="true"/>
          <w:lang w:eastAsia="he-IL"/>
        </w:rPr>
        <w:t xml:space="preserve"> התשל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ז</w:t>
      </w:r>
      <w:r>
        <w:rPr>
          <w:rtl w:val="true"/>
          <w:lang w:eastAsia="he-IL"/>
        </w:rPr>
        <w:t>-</w:t>
      </w:r>
      <w:r>
        <w:rPr>
          <w:lang w:eastAsia="he-IL"/>
        </w:rPr>
        <w:t>1977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eastAsia="he-IL"/>
        </w:rPr>
      </w:pPr>
      <w:r>
        <w:rPr>
          <w:rFonts w:cs="Arial" w:ascii="Arial" w:hAnsi="Arial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25.08.13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התפרץ אדם שזהותו אינה ידועה למאשימה וגנב מדירה באשדוד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אקדח מסוג ברטה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בין התאריכים </w:t>
      </w:r>
      <w:r>
        <w:rPr>
          <w:rFonts w:cs="Arial" w:ascii="Arial" w:hAnsi="Arial"/>
        </w:rPr>
        <w:t>25.08.13-21.06.14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סייע הנאשם לאחר להחזיק באקדח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בלא רשות על פי דין להחזקתו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21.06.14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נתפס האקדח ובתוכו מחסנית עם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מוסלק בגג מבנה סמוך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ולצדו זוג כפפות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בהתאם לתיקון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יש לקבוע</w:t>
      </w:r>
      <w:r>
        <w:rPr>
          <w:rtl w:val="true"/>
        </w:rPr>
        <w:t xml:space="preserve">, </w:t>
      </w:r>
      <w:r>
        <w:rPr>
          <w:rtl w:val="true"/>
        </w:rPr>
        <w:t>בטרם גזירת הדין את מתחם העונש ההולם</w:t>
      </w:r>
      <w:r>
        <w:rPr>
          <w:rtl w:val="true"/>
        </w:rPr>
        <w:t xml:space="preserve">, </w:t>
      </w:r>
      <w:r>
        <w:rPr>
          <w:rtl w:val="true"/>
        </w:rPr>
        <w:t>תוך התחשבות בעיקרון המנחה בענישה</w:t>
      </w:r>
      <w:r>
        <w:rPr>
          <w:rtl w:val="true"/>
        </w:rPr>
        <w:t xml:space="preserve">, </w:t>
      </w:r>
      <w:r>
        <w:rPr>
          <w:rtl w:val="true"/>
        </w:rPr>
        <w:t>שהוא קיומו של יחס הולם בין חומרת מעשה העבירה בנסיבותיו ומידת אשמו של הנאשם</w:t>
      </w:r>
      <w:r>
        <w:rPr>
          <w:rtl w:val="true"/>
        </w:rPr>
        <w:t xml:space="preserve">. </w:t>
      </w:r>
      <w:r>
        <w:rPr>
          <w:rtl w:val="true"/>
        </w:rPr>
        <w:t>בין סוג ומידת העונש המוטל עליו</w:t>
      </w:r>
      <w:r>
        <w:rPr>
          <w:rtl w:val="true"/>
        </w:rPr>
        <w:t xml:space="preserve">, </w:t>
      </w:r>
      <w:r>
        <w:rPr>
          <w:rtl w:val="true"/>
        </w:rPr>
        <w:t>מידת הפגיעה בערך החברתי המוגן</w:t>
      </w:r>
      <w:r>
        <w:rPr>
          <w:rtl w:val="true"/>
        </w:rPr>
        <w:t xml:space="preserve">, </w:t>
      </w:r>
      <w:r>
        <w:rPr>
          <w:rtl w:val="true"/>
        </w:rPr>
        <w:t>במדיניות הענישה הנהוגה ובנסיבות ביצוע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סבורני כי מתחם העונש ההולם בגין הארוע הוא </w:t>
      </w:r>
      <w:r>
        <w:rPr>
          <w:rtl w:val="true"/>
        </w:rPr>
        <w:t xml:space="preserve">מאסר שיכול וירוצה בדרך של עבודות שירות ועד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בהינתן המתחם האמור</w:t>
      </w:r>
      <w:r>
        <w:rPr>
          <w:rtl w:val="true"/>
        </w:rPr>
        <w:t xml:space="preserve">, </w:t>
      </w:r>
      <w:r>
        <w:rPr>
          <w:rtl w:val="true"/>
        </w:rPr>
        <w:t>יש לגזור את עונשו של הנאשם תוך שקילת המתחם ותוך התחשבות בנסיבות המשליכות על קביעת העונש המתאים</w:t>
      </w:r>
      <w:r>
        <w:rPr>
          <w:rtl w:val="true"/>
        </w:rPr>
        <w:t xml:space="preserve">, </w:t>
      </w:r>
      <w:r>
        <w:rPr>
          <w:rtl w:val="true"/>
        </w:rPr>
        <w:t>כאשר בענייננו יש ליתן משקל להלימה בגזירת העונש לביצוע העבירה ע</w:t>
      </w:r>
      <w:r>
        <w:rPr>
          <w:rtl w:val="true"/>
        </w:rPr>
        <w:t>"</w:t>
      </w:r>
      <w:r>
        <w:rPr>
          <w:rtl w:val="true"/>
        </w:rPr>
        <w:t>י הנאשם</w:t>
      </w:r>
      <w:r>
        <w:rPr>
          <w:rtl w:val="true"/>
        </w:rPr>
        <w:t xml:space="preserve">; </w:t>
      </w:r>
      <w:r>
        <w:rPr>
          <w:rtl w:val="true"/>
        </w:rPr>
        <w:t>נסיבות ביצוע העבירה וחומרתה</w:t>
      </w:r>
      <w:r>
        <w:rPr>
          <w:rtl w:val="true"/>
        </w:rPr>
        <w:t xml:space="preserve">; </w:t>
      </w:r>
      <w:r>
        <w:rPr>
          <w:rtl w:val="true"/>
        </w:rPr>
        <w:t>מידת הפגיעה בערך המוגן</w:t>
      </w:r>
      <w:r>
        <w:rPr>
          <w:rtl w:val="true"/>
        </w:rPr>
        <w:t xml:space="preserve">; </w:t>
      </w:r>
      <w:r>
        <w:rPr>
          <w:rtl w:val="true"/>
        </w:rPr>
        <w:t>גילו של הנאשם</w:t>
      </w:r>
      <w:r>
        <w:rPr>
          <w:rtl w:val="true"/>
        </w:rPr>
        <w:t xml:space="preserve">; </w:t>
      </w:r>
      <w:r>
        <w:rPr>
          <w:rtl w:val="true"/>
        </w:rPr>
        <w:t>הנסיבות עליהן עמדה ההגנה בטיעוניה</w:t>
      </w:r>
      <w:r>
        <w:rPr>
          <w:rtl w:val="true"/>
        </w:rPr>
        <w:t xml:space="preserve">; </w:t>
      </w:r>
      <w:r>
        <w:rPr>
          <w:rtl w:val="true"/>
        </w:rPr>
        <w:t>הודאתו המצביעה על נטילת אחריות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rtl w:val="true"/>
        </w:rPr>
        <w:t>הצדדים הגיעו להסכמה עונשית סגורה לפיה יוטל על הנאשם עונש מאסר ממש</w:t>
      </w:r>
      <w:r>
        <w:rPr>
          <w:rtl w:val="true"/>
        </w:rPr>
        <w:t xml:space="preserve">, </w:t>
      </w:r>
      <w:r>
        <w:rPr>
          <w:rtl w:val="true"/>
        </w:rPr>
        <w:t>מאסר על תנאי 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לאחר ששמעתי את הצדדים בהתחשב בטיעוניהם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אני מקבל את הסדר הטיעון בהיותו סביר וראוי בנסיבות המקרה והעניין ועל פי כל השיקולים הצריכים לגזר הדין אני קובע כי אלה העונשים שאני משית על הנאשם</w:t>
      </w:r>
      <w:r>
        <w:rPr>
          <w:b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אני דן את הנאשם לעונש מאסר למשך שלושה חודשים ויום</w:t>
      </w:r>
      <w:r>
        <w:rPr>
          <w:sz w:val="24"/>
          <w:rtl w:val="true"/>
        </w:rPr>
        <w:t>.</w:t>
      </w:r>
    </w:p>
    <w:p>
      <w:pPr>
        <w:pStyle w:val="Normal"/>
        <w:autoSpaceDE w:val="false"/>
        <w:spacing w:lineRule="auto" w:line="360"/>
        <w:ind w:start="36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לריצוי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, </w:t>
      </w:r>
      <w:r>
        <w:rPr/>
        <w:t>6/12/15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לשעה</w:t>
      </w:r>
      <w:r>
        <w:rPr>
          <w:rtl w:val="true"/>
        </w:rPr>
        <w:t xml:space="preserve">, </w:t>
      </w:r>
      <w:r>
        <w:rPr/>
        <w:t>10.00</w:t>
      </w:r>
      <w:r>
        <w:rPr>
          <w:rtl w:val="true"/>
        </w:rPr>
        <w:t xml:space="preserve">,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 </w:t>
      </w:r>
      <w:r>
        <w:rPr>
          <w:rtl w:val="true"/>
        </w:rPr>
        <w:t>ניצן</w:t>
      </w:r>
      <w:r>
        <w:rPr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החלטת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tl w:val="true"/>
        </w:rPr>
        <w:t xml:space="preserve"> </w:t>
      </w:r>
      <w:r>
        <w:rPr>
          <w:rtl w:val="true"/>
        </w:rPr>
        <w:t>תעודת</w:t>
      </w:r>
      <w:r>
        <w:rPr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 </w:t>
      </w:r>
      <w:r>
        <w:rPr>
          <w:rtl w:val="true"/>
        </w:rPr>
        <w:t>ועותק</w:t>
      </w:r>
      <w:r>
        <w:rPr>
          <w:rtl w:val="true"/>
        </w:rPr>
        <w:t xml:space="preserve"> </w:t>
      </w:r>
      <w:r>
        <w:rPr>
          <w:rtl w:val="true"/>
        </w:rPr>
        <w:t>מגזר</w:t>
      </w:r>
      <w:r>
        <w:rPr>
          <w:rtl w:val="true"/>
        </w:rPr>
        <w:t xml:space="preserve"> </w:t>
      </w:r>
      <w:r>
        <w:rPr>
          <w:rtl w:val="true"/>
        </w:rPr>
        <w:t>הדי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 </w:t>
      </w:r>
      <w:r>
        <w:rPr>
          <w:rtl w:val="true"/>
        </w:rPr>
        <w:t>לתאם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הכניסה</w:t>
      </w:r>
      <w:r>
        <w:rPr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ענף</w:t>
      </w:r>
      <w:r>
        <w:rPr>
          <w:rtl w:val="true"/>
        </w:rPr>
        <w:t xml:space="preserve"> </w:t>
      </w:r>
      <w:r>
        <w:rPr>
          <w:rtl w:val="true"/>
        </w:rPr>
        <w:t>אבחון</w:t>
      </w:r>
      <w:r>
        <w:rPr>
          <w:rtl w:val="true"/>
        </w:rPr>
        <w:t xml:space="preserve"> </w:t>
      </w:r>
      <w:r>
        <w:rPr>
          <w:rtl w:val="true"/>
        </w:rPr>
        <w:t>ומיון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בט</w:t>
      </w:r>
      <w:r>
        <w:rPr>
          <w:rtl w:val="true"/>
        </w:rPr>
        <w:t>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089787336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 xml:space="preserve">אני דן את הנאשם למאסר למשך </w:t>
      </w:r>
      <w:r>
        <w:rPr>
          <w:b/>
          <w:b/>
          <w:bCs/>
          <w:sz w:val="24"/>
          <w:sz w:val="24"/>
          <w:rtl w:val="true"/>
        </w:rPr>
        <w:t xml:space="preserve">חמישה </w:t>
      </w:r>
      <w:r>
        <w:rPr>
          <w:sz w:val="24"/>
          <w:sz w:val="24"/>
          <w:rtl w:val="true"/>
        </w:rPr>
        <w:t>חודשים וזאת על תנאי למשך שלוש שנים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התנאי הוא שלא יעבור את העבירה בה הורשע</w:t>
      </w:r>
      <w:r>
        <w:rPr>
          <w:sz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sz w:val="24"/>
        </w:rPr>
      </w:pPr>
      <w:r>
        <w:rPr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 xml:space="preserve">הנאשם ישלם קנס בסך  </w:t>
      </w:r>
      <w:r>
        <w:rPr>
          <w:sz w:val="24"/>
        </w:rPr>
        <w:t>1,500</w:t>
      </w:r>
      <w:r>
        <w:rPr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 xml:space="preserve">₪ </w:t>
      </w:r>
      <w:r>
        <w:rPr>
          <w:sz w:val="24"/>
          <w:sz w:val="24"/>
          <w:rtl w:val="true"/>
        </w:rPr>
        <w:t xml:space="preserve">או  </w:t>
      </w:r>
      <w:r>
        <w:rPr>
          <w:sz w:val="24"/>
        </w:rPr>
        <w:t>15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 מאסר תמורתם</w:t>
      </w:r>
      <w:r>
        <w:rPr>
          <w:sz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 xml:space="preserve">הקנס ישולם עד ליום </w:t>
      </w:r>
      <w:r>
        <w:rPr>
          <w:sz w:val="24"/>
        </w:rPr>
        <w:t>1/1/16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 ערעור לבית המשפט המחוזי בת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 xml:space="preserve">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במידה וקיימים מוצגים הרי שהם יישמד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יחולטו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יושבו לבעליהם על פי שיקול הדעת של קצין החקירות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ככל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שהופקד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פיקדון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 xml:space="preserve">בתיק וכן בתיק </w:t>
      </w:r>
      <w:r>
        <w:rPr>
          <w:b/>
          <w:bCs/>
          <w:u w:val="single"/>
        </w:rPr>
        <w:t>51315-10-14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ידי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ובהיעדר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מניעה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פי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הקנס יקוזז מהפיקדון ואת היתרה יש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להחזירו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לידיו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לגורם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לפי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בקשת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 הפקדון יושב כאמור לאחר התייצבות הנאשם למאסר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יפנה למזכירות ביהמ</w:t>
      </w:r>
      <w:r>
        <w:rPr>
          <w:rtl w:val="true"/>
        </w:rPr>
        <w:t>"</w:t>
      </w:r>
      <w:r>
        <w:rPr>
          <w:rtl w:val="true"/>
        </w:rPr>
        <w:t>ש לקבלת שובר תשלום קנס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לצורך הבטחת התייצבותו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הנאשם יחתום על התחייבות עצמית בסך </w:t>
      </w:r>
      <w:r>
        <w:rPr/>
        <w:t>10,000</w:t>
      </w:r>
      <w:r>
        <w:rPr>
          <w:rtl w:val="true"/>
        </w:rPr>
        <w:t xml:space="preserve"> ₪, </w:t>
      </w:r>
      <w:r>
        <w:rPr>
          <w:rtl w:val="true"/>
        </w:rPr>
        <w:t>ערבות צד ג</w:t>
      </w:r>
      <w:r>
        <w:rPr>
          <w:rtl w:val="true"/>
        </w:rPr>
        <w:t xml:space="preserve">' </w:t>
      </w:r>
      <w:r>
        <w:rPr>
          <w:rtl w:val="true"/>
        </w:rPr>
        <w:t xml:space="preserve">בסך </w:t>
      </w:r>
      <w:r>
        <w:rPr/>
        <w:t>5,000</w:t>
      </w:r>
      <w:r>
        <w:rPr>
          <w:rtl w:val="true"/>
        </w:rPr>
        <w:t xml:space="preserve"> ₪.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מאשר את הערב חסיד יוני ת</w:t>
      </w:r>
      <w:r>
        <w:rPr>
          <w:rtl w:val="true"/>
        </w:rPr>
        <w:t>.</w:t>
      </w:r>
      <w:r>
        <w:rPr>
          <w:rtl w:val="true"/>
        </w:rPr>
        <w:t xml:space="preserve">ז </w:t>
      </w:r>
      <w:r>
        <w:rPr/>
        <w:t>034890012</w:t>
      </w:r>
      <w:r>
        <w:rPr>
          <w:rtl w:val="true"/>
        </w:rPr>
        <w:t xml:space="preserve">. </w:t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מוצא בזאת צו עיכוב יציאה מן הארץ כנגד הנאשם אשר יעמוד בתוקפו עד לסיום ריצוי עונש המאסר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18/10/2015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שמואל מלמד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שמואל מלמד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">
        <w:r>
          <w:rPr>
            <w:rStyle w:val="Hyperlink"/>
            <w:rtl w:val="true"/>
          </w:rPr>
          <w:t>בעניין עריכה ושינויים במסמכי 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"/>
      <w:footerReference w:type="default" r:id="rId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51301-10-14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צלי טנצר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napToGrid w:val="false"/>
      <w:spacing w:before="0" w:after="0"/>
      <w:ind w:hanging="0" w:start="720" w:end="0"/>
      <w:contextualSpacing/>
    </w:pPr>
    <w:rPr>
      <w:rFonts w:ascii="Times New Roman" w:hAnsi="Times New Roman" w:eastAsia="Times New Roman" w:cs="Times New Roman"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advertisements/nevo-100.doc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2015-10-27T13:05:00Z</dcterms:created>
  <dc:creator> </dc:creator>
  <dc:description/>
  <cp:keywords/>
  <dc:language>en-IL</dc:language>
  <cp:lastModifiedBy>hofit</cp:lastModifiedBy>
  <dcterms:modified xsi:type="dcterms:W3CDTF">2015-10-27T13:05:00Z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צלי טנצר</vt:lpwstr>
  </property>
  <property fmtid="{D5CDD505-2E9C-101B-9397-08002B2CF9AE}" pid="4" name="CITY">
    <vt:lpwstr>ת"א</vt:lpwstr>
  </property>
  <property fmtid="{D5CDD505-2E9C-101B-9397-08002B2CF9AE}" pid="5" name="DATE">
    <vt:lpwstr>20151018</vt:lpwstr>
  </property>
  <property fmtid="{D5CDD505-2E9C-101B-9397-08002B2CF9AE}" pid="6" name="ISABSTRACT">
    <vt:lpwstr>Y</vt:lpwstr>
  </property>
  <property fmtid="{D5CDD505-2E9C-101B-9397-08002B2CF9AE}" pid="7" name="JUDGE">
    <vt:lpwstr>שמואל מלמד</vt:lpwstr>
  </property>
  <property fmtid="{D5CDD505-2E9C-101B-9397-08002B2CF9AE}" pid="8" name="LAWLISTTMP1">
    <vt:lpwstr>70301/144.a</vt:lpwstr>
  </property>
  <property fmtid="{D5CDD505-2E9C-101B-9397-08002B2CF9AE}" pid="9" name="LAWYER">
    <vt:lpwstr>אבירן אסבן טל הוד;יקי קהן</vt:lpwstr>
  </property>
  <property fmtid="{D5CDD505-2E9C-101B-9397-08002B2CF9AE}" pid="10" name="NEWPARTA">
    <vt:lpwstr>51301</vt:lpwstr>
  </property>
  <property fmtid="{D5CDD505-2E9C-101B-9397-08002B2CF9AE}" pid="11" name="NEWPARTB">
    <vt:lpwstr>10</vt:lpwstr>
  </property>
  <property fmtid="{D5CDD505-2E9C-101B-9397-08002B2CF9AE}" pid="12" name="NEWPARTC">
    <vt:lpwstr>14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3</vt:lpwstr>
  </property>
  <property fmtid="{D5CDD505-2E9C-101B-9397-08002B2CF9AE}" pid="16" name="TYPE_ABS_DATE">
    <vt:lpwstr>380020151018</vt:lpwstr>
  </property>
  <property fmtid="{D5CDD505-2E9C-101B-9397-08002B2CF9AE}" pid="17" name="TYPE_N_DATE">
    <vt:lpwstr>38020151018</vt:lpwstr>
  </property>
  <property fmtid="{D5CDD505-2E9C-101B-9397-08002B2CF9AE}" pid="18" name="WORDNUMPAGES">
    <vt:lpwstr>4</vt:lpwstr>
  </property>
</Properties>
</file>