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5137-06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עגינה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שרה חביב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זיוה לדרמן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נאייף אבו עגינה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שאחדה אבומדיעם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/>
      </w:pPr>
      <w:bookmarkStart w:id="4" w:name="PsakDin"/>
      <w:bookmarkEnd w:id="4"/>
      <w:r>
        <w:rPr>
          <w:rtl w:val="true"/>
        </w:rPr>
        <w:t>על יסוד הודאת הנאשם</w:t>
      </w:r>
      <w:r>
        <w:rPr>
          <w:rtl w:val="true"/>
        </w:rPr>
        <w:t xml:space="preserve">, </w:t>
      </w:r>
      <w:r>
        <w:rPr>
          <w:rtl w:val="true"/>
        </w:rPr>
        <w:t>הנני מרשיעה אותו במיוחס לו בכתב האישום בתיק זה וב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2266/08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החזקת סם לצריכה 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הרישום הפלילי של הנאשם הוגש וסומן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הודאתו במסגרת הסדר טיעון בעבירה של החזקת סם לשימוש עצמי</w:t>
      </w:r>
      <w:r>
        <w:rPr>
          <w:rtl w:val="true"/>
        </w:rPr>
        <w:t xml:space="preserve">, </w:t>
      </w:r>
      <w:r>
        <w:rPr>
          <w:rtl w:val="true"/>
        </w:rPr>
        <w:t xml:space="preserve">אשר בוצעה ביום </w:t>
      </w:r>
      <w:r>
        <w:rPr/>
        <w:t>12.6.06</w:t>
      </w:r>
      <w:r>
        <w:rPr>
          <w:rtl w:val="true"/>
        </w:rPr>
        <w:t xml:space="preserve">. </w:t>
      </w:r>
      <w:r>
        <w:rPr>
          <w:rtl w:val="true"/>
        </w:rPr>
        <w:t xml:space="preserve">בנוסף צרף הנאשם 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2266/08</w:t>
        </w:r>
      </w:hyperlink>
      <w:r>
        <w:rPr>
          <w:rtl w:val="true"/>
        </w:rPr>
        <w:t xml:space="preserve"> </w:t>
      </w:r>
      <w:r>
        <w:rPr>
          <w:rtl w:val="true"/>
        </w:rPr>
        <w:t>של בימ</w:t>
      </w:r>
      <w:r>
        <w:rPr>
          <w:rtl w:val="true"/>
        </w:rPr>
        <w:t>"</w:t>
      </w:r>
      <w:r>
        <w:rPr>
          <w:rtl w:val="true"/>
        </w:rPr>
        <w:t xml:space="preserve">ש זה שעניינו עבירה דומה שבוצעה ביום </w:t>
      </w:r>
      <w:r>
        <w:rPr/>
        <w:t>25.11.07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הסדר הטיעון הוסכם</w:t>
      </w:r>
      <w:r>
        <w:rPr>
          <w:rtl w:val="true"/>
        </w:rPr>
        <w:t xml:space="preserve">, </w:t>
      </w:r>
      <w:r>
        <w:rPr>
          <w:rtl w:val="true"/>
        </w:rPr>
        <w:t>כי יושת על הנאשם מאסר מותנה ופסילת מותנית והתחייבות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500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שבפני יליד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לחובתו רישומים קודמים בתחום הסמים ועבירות 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מדובר במי שיכול היה לצרף תיקים אלה בהליכים קודמים בגינם נדון</w:t>
      </w:r>
      <w:r>
        <w:rPr>
          <w:rtl w:val="true"/>
        </w:rPr>
        <w:t xml:space="preserve">, </w:t>
      </w:r>
      <w:r>
        <w:rPr>
          <w:rtl w:val="true"/>
        </w:rPr>
        <w:t>אך בשל טעות</w:t>
      </w:r>
      <w:r>
        <w:rPr>
          <w:rtl w:val="true"/>
        </w:rPr>
        <w:t xml:space="preserve">, </w:t>
      </w:r>
      <w:r>
        <w:rPr>
          <w:rtl w:val="true"/>
        </w:rPr>
        <w:t>ככל הנראה הדבר לא נעשה</w:t>
      </w:r>
      <w:r>
        <w:rPr>
          <w:rtl w:val="true"/>
        </w:rPr>
        <w:t xml:space="preserve">. </w:t>
      </w:r>
      <w:r>
        <w:rPr>
          <w:rtl w:val="true"/>
        </w:rPr>
        <w:t>יש עוד לשקול לקולה את העובדה כי מדובר בעבירות ישנות</w:t>
      </w:r>
      <w:r>
        <w:rPr>
          <w:rtl w:val="true"/>
        </w:rPr>
        <w:t xml:space="preserve">, </w:t>
      </w:r>
      <w:r>
        <w:rPr>
          <w:rtl w:val="true"/>
        </w:rPr>
        <w:t>את הודאתו של הנאשם בהזדמנות הראשונה ואת החסכון בזמן 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ולאור נסיבותיו האישיות של הנאשם אני קובעת כי ההסדר בין הצדדים ראוי ואני משיתה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מותנה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 שנתיים</w:t>
      </w:r>
      <w:r>
        <w:rPr>
          <w:rtl w:val="true"/>
        </w:rPr>
        <w:t xml:space="preserve">, </w:t>
      </w:r>
      <w:r>
        <w:rPr>
          <w:rtl w:val="true"/>
        </w:rPr>
        <w:t>שלא יעבור על כל עבירת עוון לפי פקודת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 פוסלת את הנאשם מלקבל או להחזיק רישיון נהיגה</w:t>
      </w:r>
      <w:r>
        <w:rPr>
          <w:rtl w:val="true"/>
        </w:rPr>
        <w:t xml:space="preserve">, </w:t>
      </w:r>
      <w:r>
        <w:rPr>
          <w:rtl w:val="true"/>
        </w:rPr>
        <w:t xml:space="preserve">וזאת למשך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על תנאי למשך 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יחתום על התחייבות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לפיה ימנע מן העבירה בה הורשע למשך שנתיים מהיום</w:t>
      </w:r>
      <w:r>
        <w:rPr>
          <w:rtl w:val="true"/>
        </w:rPr>
        <w:t xml:space="preserve">. </w:t>
      </w:r>
      <w:r>
        <w:rPr>
          <w:rtl w:val="true"/>
        </w:rPr>
        <w:t>לא תחתם ההתחייבות תוך שבוע ייאסר הנאשם לשבוע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לבית המשפט המחוזי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 בזאת צו להשמדת המוצגים בכפוף לזכות ערעור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שרה חביב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6"/>
          <w:szCs w:val="6"/>
        </w:rPr>
        <w:t>54678313</w:t>
      </w:r>
      <w:r>
        <w:rPr>
          <w:rtl w:val="true"/>
        </w:rPr>
        <w:t>&lt;</w:t>
      </w:r>
      <w:r>
        <w:rPr/>
        <w:t>#9#</w:t>
      </w:r>
      <w:r>
        <w:rPr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ה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תמוז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07/07/2011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שרה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דלי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זיתון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5137-06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נאייף אבו עגינה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2266/08" TargetMode="External"/><Relationship Id="rId3" Type="http://schemas.openxmlformats.org/officeDocument/2006/relationships/hyperlink" Target="http://www.nevo.co.il/links/psika/?link=&#1514;&#1508;%202266/08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2011-07-11T06:58:00Z</dcterms:created>
  <dc:creator> </dc:creator>
  <dc:description/>
  <cp:keywords/>
  <dc:language>en-IL</dc:language>
  <cp:lastModifiedBy>hofit</cp:lastModifiedBy>
  <dcterms:modified xsi:type="dcterms:W3CDTF">2011-07-11T06:58:00Z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נאייף אבו עגינה</vt:lpwstr>
  </property>
  <property fmtid="{D5CDD505-2E9C-101B-9397-08002B2CF9AE}" pid="4" name="CITY">
    <vt:lpwstr>ב"ש</vt:lpwstr>
  </property>
  <property fmtid="{D5CDD505-2E9C-101B-9397-08002B2CF9AE}" pid="5" name="DATE">
    <vt:lpwstr>20110707</vt:lpwstr>
  </property>
  <property fmtid="{D5CDD505-2E9C-101B-9397-08002B2CF9AE}" pid="6" name="JUDGE">
    <vt:lpwstr>שרה חביב</vt:lpwstr>
  </property>
  <property fmtid="{D5CDD505-2E9C-101B-9397-08002B2CF9AE}" pid="7" name="LAWYER">
    <vt:lpwstr>מ.י. לשכת תביעות מרחב נגב באר שבע זיוה לדרמן;שאחדה אבומדיעם</vt:lpwstr>
  </property>
  <property fmtid="{D5CDD505-2E9C-101B-9397-08002B2CF9AE}" pid="8" name="NEWPARTA">
    <vt:lpwstr>5137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</vt:lpwstr>
  </property>
  <property fmtid="{D5CDD505-2E9C-101B-9397-08002B2CF9AE}" pid="12" name="PROCNUM">
    <vt:lpwstr>5137</vt:lpwstr>
  </property>
  <property fmtid="{D5CDD505-2E9C-101B-9397-08002B2CF9AE}" pid="13" name="PROCYEAR">
    <vt:lpwstr>06</vt:lpwstr>
  </property>
  <property fmtid="{D5CDD505-2E9C-101B-9397-08002B2CF9AE}" pid="14" name="PSAKDIN">
    <vt:lpwstr>הכרעת-דין</vt:lpwstr>
  </property>
  <property fmtid="{D5CDD505-2E9C-101B-9397-08002B2CF9AE}" pid="15" name="TYPE">
    <vt:lpwstr>3</vt:lpwstr>
  </property>
  <property fmtid="{D5CDD505-2E9C-101B-9397-08002B2CF9AE}" pid="16" name="TYPE_ABS_DATE">
    <vt:lpwstr>380020110707</vt:lpwstr>
  </property>
  <property fmtid="{D5CDD505-2E9C-101B-9397-08002B2CF9AE}" pid="17" name="TYPE_N_DATE">
    <vt:lpwstr>38020110707</vt:lpwstr>
  </property>
  <property fmtid="{D5CDD505-2E9C-101B-9397-08002B2CF9AE}" pid="18" name="WORDNUMPAGES">
    <vt:lpwstr>2</vt:lpwstr>
  </property>
</Properties>
</file>