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51828-02-14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עטאללה</w:t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10"/>
                <w:szCs w:val="10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יודה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דאהר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קוזמינר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דאהר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17.6.14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"). </w:t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9" w:name="ABSTRACT_END"/>
      <w:bookmarkEnd w:id="9"/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19.2.14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23:12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מגאן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98-057-36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חורפיש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שסוגלו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5/10/14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10-20</w:t>
      </w:r>
      <w:r>
        <w:rPr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בירכא</w:t>
      </w:r>
      <w:r>
        <w:rPr>
          <w:rtl w:val="true"/>
        </w:rPr>
        <w:t xml:space="preserve">.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,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,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בירכא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-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ופרמטרים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ואחזקה</w:t>
      </w:r>
      <w:r>
        <w:rPr>
          <w:rtl w:val="true"/>
        </w:rPr>
        <w:t xml:space="preserve">, </w:t>
      </w:r>
      <w:r>
        <w:rPr>
          <w:rtl w:val="true"/>
        </w:rPr>
        <w:t>במתנ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משלים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28.10.14</w:t>
      </w:r>
      <w:r>
        <w:rPr>
          <w:rtl w:val="true"/>
        </w:rPr>
        <w:t xml:space="preserve">, </w:t>
      </w:r>
      <w:r>
        <w:rPr>
          <w:rtl w:val="true"/>
        </w:rPr>
        <w:t>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22.10.14</w:t>
      </w:r>
      <w:r>
        <w:rPr>
          <w:rtl w:val="true"/>
        </w:rPr>
        <w:t xml:space="preserve">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בפגישתו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נסער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בתסקיר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המלצותיו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שהמליץ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תסקירו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5/10/14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ראשון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והיב</w:t>
      </w:r>
      <w:r>
        <w:rPr>
          <w:rtl w:val="true"/>
        </w:rPr>
        <w:t xml:space="preserve">, </w:t>
      </w:r>
      <w:r>
        <w:rPr>
          <w:rtl w:val="true"/>
        </w:rPr>
        <w:t>המכהן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בקדנציית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להבנתו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.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והיב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נוסף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מטעם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מבדא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ירכא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מילדות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ברחמנות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סומנו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החמוּר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תתממש</w:t>
      </w:r>
      <w:r>
        <w:rPr>
          <w:rtl w:val="true"/>
        </w:rPr>
        <w:t xml:space="preserve">,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14/9/11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17/11/05</w:t>
      </w:r>
      <w:r>
        <w:rPr>
          <w:rtl w:val="true"/>
        </w:rPr>
        <w:t xml:space="preserve">)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21.10.09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22/2/07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24/7/03</w:t>
      </w:r>
      <w:r>
        <w:rPr>
          <w:rtl w:val="true"/>
        </w:rPr>
        <w:t xml:space="preserve">).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בעמדו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22/10/14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20/11/14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שסוגלו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איכותו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40"/>
        <w:jc w:val="both"/>
        <w:rPr/>
      </w:pPr>
      <w:r>
        <w:rPr>
          <w:rtl w:val="true"/>
        </w:rPr>
        <w:t>"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מידת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המוטל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המבוצעות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מושפעת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מפוטנציאל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הסיכון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הטמון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המוחזק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ומהעברתו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ליד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פיקוח</w:t>
      </w:r>
      <w:r>
        <w:rPr>
          <w:rFonts w:cs="Miriam"/>
          <w:b/>
          <w:bCs/>
          <w:sz w:val="22"/>
          <w:szCs w:val="22"/>
          <w:rtl w:val="true"/>
        </w:rPr>
        <w:t xml:space="preserve">.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בבוא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הדין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בעבירה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החזקה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ונשיאה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עליו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להתחשב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שבהן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לידי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החומרה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המיוחדת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שבעבירה</w:t>
      </w:r>
      <w:r>
        <w:rPr>
          <w:rFonts w:cs="Miriam"/>
          <w:b/>
          <w:bCs/>
          <w:sz w:val="22"/>
          <w:szCs w:val="22"/>
          <w:rtl w:val="true"/>
        </w:rPr>
        <w:t xml:space="preserve">.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היתר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ייתן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דעתו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המוחזק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כדין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כמותו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התכלית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שלשמה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מוחזק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הסכנה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המוחשית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שיעשה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Cs/>
          <w:sz w:val="22"/>
          <w:szCs w:val="22"/>
          <w:rtl w:val="true"/>
        </w:rPr>
        <w:t xml:space="preserve">...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טיבו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מיועד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להגנה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עצמית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וכל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כולו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התקפי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עוצמה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השימוש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יכול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להרג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הבחנה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בעבירת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ההחזקה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והנשיאה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אותו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נשק</w:t>
      </w:r>
      <w:r>
        <w:rPr>
          <w:rFonts w:cs="Miriam"/>
          <w:b/>
          <w:bCs/>
          <w:sz w:val="22"/>
          <w:szCs w:val="22"/>
          <w:rtl w:val="true"/>
        </w:rPr>
        <w:t xml:space="preserve">,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חומרה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/>
          <w:b/>
          <w:b/>
          <w:bCs/>
          <w:sz w:val="22"/>
          <w:sz w:val="22"/>
          <w:szCs w:val="22"/>
          <w:rtl w:val="true"/>
        </w:rPr>
        <w:t>מיוחדת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5/6/13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>") 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Arial" w:hAnsi="Arial" w:cs="Miriam"/>
          <w:sz w:val="22"/>
          <w:szCs w:val="22"/>
        </w:rPr>
      </w:pPr>
      <w:r>
        <w:rPr>
          <w:rFonts w:cs="Miriam" w:ascii="Arial" w:hAnsi="Arial"/>
          <w:sz w:val="22"/>
          <w:szCs w:val="22"/>
          <w:rtl w:val="true"/>
        </w:rPr>
        <w:t xml:space="preserve">"... </w:t>
      </w:r>
      <w:r>
        <w:rPr>
          <w:rFonts w:ascii="Arial" w:hAnsi="Arial" w:cs="Miriam"/>
          <w:sz w:val="22"/>
          <w:sz w:val="22"/>
          <w:szCs w:val="22"/>
          <w:rtl w:val="true"/>
        </w:rPr>
        <w:t>ואולם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עדיין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לא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מצאתי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הצדקה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להתערב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במתחם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שנקבע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זאת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בהתחשב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במגמה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המתחייבת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בענישה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בעבירות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נשק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המיושמת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בפסיקה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בשנים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האחרונות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ascii="Arial" w:hAnsi="Arial" w:cs="Miriam"/>
          <w:sz w:val="22"/>
          <w:sz w:val="22"/>
          <w:szCs w:val="22"/>
          <w:rtl w:val="true"/>
        </w:rPr>
        <w:t>ראו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למשל</w:t>
      </w:r>
      <w:r>
        <w:rPr>
          <w:rFonts w:cs="Miriam" w:ascii="Arial" w:hAnsi="Arial"/>
          <w:sz w:val="22"/>
          <w:szCs w:val="22"/>
          <w:rtl w:val="true"/>
        </w:rPr>
        <w:t xml:space="preserve">: </w:t>
      </w:r>
      <w:hyperlink r:id="rId16"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</w:rPr>
          <w:t>4450/11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עספור</w:t>
      </w:r>
      <w:r>
        <w:rPr>
          <w:rFonts w:ascii="Arial" w:hAnsi="Arial" w:eastAsia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Miriam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ascii="Arial" w:hAnsi="Arial" w:cs="Miriam"/>
          <w:sz w:val="22"/>
          <w:sz w:val="22"/>
          <w:szCs w:val="22"/>
          <w:rtl w:val="true"/>
        </w:rPr>
        <w:t>מיום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z w:val="22"/>
          <w:szCs w:val="22"/>
        </w:rPr>
        <w:t>8.2.12</w:t>
      </w:r>
      <w:r>
        <w:rPr>
          <w:rFonts w:cs="Miriam" w:ascii="Arial" w:hAnsi="Arial"/>
          <w:sz w:val="22"/>
          <w:szCs w:val="22"/>
          <w:rtl w:val="true"/>
        </w:rPr>
        <w:t xml:space="preserve">); </w:t>
      </w:r>
      <w:hyperlink r:id="rId17"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color w:val="0000FF"/>
            <w:sz w:val="22"/>
            <w:szCs w:val="22"/>
            <w:u w:val="single"/>
          </w:rPr>
          <w:t>2251/11</w:t>
        </w:r>
      </w:hyperlink>
      <w:r>
        <w:rPr>
          <w:rFonts w:cs="Miriam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נפאע</w:t>
      </w:r>
      <w:r>
        <w:rPr>
          <w:rFonts w:ascii="Arial" w:hAnsi="Arial" w:eastAsia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Miriam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מ</w:t>
      </w:r>
      <w:r>
        <w:rPr>
          <w:rFonts w:cs="Miriam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Miriam"/>
          <w:b/>
          <w:b/>
          <w:bCs/>
          <w:sz w:val="22"/>
          <w:sz w:val="22"/>
          <w:szCs w:val="22"/>
          <w:rtl w:val="true"/>
        </w:rPr>
        <w:t>י</w:t>
      </w:r>
      <w:r>
        <w:rPr>
          <w:rFonts w:ascii="Arial" w:hAnsi="Arial" w:eastAsia="Arial" w:cs="Arial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z w:val="22"/>
          <w:szCs w:val="22"/>
          <w:rtl w:val="true"/>
        </w:rPr>
        <w:t>(</w:t>
      </w:r>
      <w:r>
        <w:rPr>
          <w:rFonts w:ascii="Arial" w:hAnsi="Arial" w:cs="Miriam"/>
          <w:sz w:val="22"/>
          <w:sz w:val="22"/>
          <w:szCs w:val="22"/>
          <w:rtl w:val="true"/>
        </w:rPr>
        <w:t>מיום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cs="Miriam" w:ascii="Arial" w:hAnsi="Arial"/>
          <w:sz w:val="22"/>
          <w:szCs w:val="22"/>
        </w:rPr>
        <w:t>4.12.11</w:t>
      </w:r>
      <w:r>
        <w:rPr>
          <w:rFonts w:cs="Miriam" w:ascii="Arial" w:hAnsi="Arial"/>
          <w:sz w:val="22"/>
          <w:szCs w:val="22"/>
          <w:rtl w:val="true"/>
        </w:rPr>
        <w:t xml:space="preserve">)) </w:t>
      </w:r>
      <w:r>
        <w:rPr>
          <w:rFonts w:ascii="Arial" w:hAnsi="Arial" w:cs="Miriam"/>
          <w:sz w:val="22"/>
          <w:sz w:val="22"/>
          <w:szCs w:val="22"/>
          <w:rtl w:val="true"/>
        </w:rPr>
        <w:t>מגמה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הזוכה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לתמיכתי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המלאה</w:t>
      </w:r>
      <w:r>
        <w:rPr>
          <w:rFonts w:cs="Miriam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Miriam"/>
          <w:sz w:val="22"/>
          <w:sz w:val="22"/>
          <w:szCs w:val="22"/>
          <w:rtl w:val="true"/>
        </w:rPr>
        <w:t>נוכח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היקפן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המתרחב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עבירות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המבוצעות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בנשק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בכלל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וסחר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בנשק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בפרט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וזמינותו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המדאיגה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בלתי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חוקי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במחוזותינו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התעורר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הצורך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להחמיר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בעונשי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המאסר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המוטלים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בעבירות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אלה</w:t>
      </w:r>
      <w:r>
        <w:rPr>
          <w:rFonts w:cs="Miriam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Miriam"/>
          <w:sz w:val="22"/>
          <w:sz w:val="22"/>
          <w:szCs w:val="22"/>
          <w:rtl w:val="true"/>
        </w:rPr>
        <w:t>אכן</w:t>
      </w:r>
      <w:r>
        <w:rPr>
          <w:rFonts w:cs="Miriam" w:ascii="Arial" w:hAnsi="Arial"/>
          <w:sz w:val="22"/>
          <w:szCs w:val="22"/>
          <w:rtl w:val="true"/>
        </w:rPr>
        <w:t>, "</w:t>
      </w:r>
      <w:r>
        <w:rPr>
          <w:rFonts w:ascii="Arial" w:hAnsi="Arial" w:cs="Miriam"/>
          <w:sz w:val="22"/>
          <w:sz w:val="22"/>
          <w:szCs w:val="22"/>
          <w:rtl w:val="true"/>
        </w:rPr>
        <w:t>התגלגלותם</w:t>
      </w:r>
      <w:r>
        <w:rPr>
          <w:rFonts w:cs="Miriam" w:ascii="Arial" w:hAnsi="Arial"/>
          <w:sz w:val="22"/>
          <w:szCs w:val="22"/>
          <w:rtl w:val="true"/>
        </w:rPr>
        <w:t xml:space="preserve">" </w:t>
      </w:r>
      <w:r>
        <w:rPr>
          <w:rFonts w:ascii="Arial" w:hAnsi="Arial" w:cs="Miriam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כלי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מיד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ליד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ללא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פיקוח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עלול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להוביל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להגעתם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בדרך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לא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דרך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לגורמים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פליליים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ועוינים</w:t>
      </w:r>
      <w:r>
        <w:rPr>
          <w:rFonts w:cs="Miriam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Miriam"/>
          <w:sz w:val="22"/>
          <w:sz w:val="22"/>
          <w:szCs w:val="22"/>
          <w:rtl w:val="true"/>
        </w:rPr>
        <w:t>אין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לדעת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יעלה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בגורלם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כלי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נשק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אלה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ולאילו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תוצאות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הרסניות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יובילו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–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בסכסוך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ברחוב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בקטטה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בין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ניצים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ואף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בתוך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המשפחה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פנימה</w:t>
      </w:r>
      <w:r>
        <w:rPr>
          <w:rFonts w:cs="Miriam" w:ascii="Arial" w:hAnsi="Arial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start="1134" w:end="1134"/>
        <w:jc w:val="both"/>
        <w:rPr>
          <w:rFonts w:ascii="Arial" w:hAnsi="Arial" w:cs="Miriam"/>
        </w:rPr>
      </w:pPr>
      <w:r>
        <w:rPr>
          <w:rFonts w:ascii="Arial" w:hAnsi="Arial" w:cs="Miriam"/>
          <w:sz w:val="22"/>
          <w:sz w:val="22"/>
          <w:szCs w:val="22"/>
          <w:rtl w:val="true"/>
        </w:rPr>
        <w:t>הסכנה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הנשקפת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לציבור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כתוצאה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מעבירות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אלה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לצד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המימדים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שאליהן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הגיעו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מחייבים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לתת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ביטוי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הולם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וכבד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משקל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להגנה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הערך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החברתי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שנפגע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כתוצאה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מפעילות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עבריינית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זו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הגנה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שלום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הציבור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מפני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פגיעות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בגוף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בנפש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ולהחמיר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עונשי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המאסר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המוטלים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בגין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פעילות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עבריינית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זו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בהדרגה</w:t>
      </w:r>
      <w:r>
        <w:rPr>
          <w:rFonts w:cs="Miriam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Miriam"/>
          <w:sz w:val="22"/>
          <w:sz w:val="22"/>
          <w:szCs w:val="22"/>
          <w:rtl w:val="true"/>
        </w:rPr>
        <w:t>למותר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לציין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כי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אין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בכך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לחתור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תחת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האופי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האינדיבידואלי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שבממלכת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הענישה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הנעשית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כל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מקרה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לגופו</w:t>
      </w:r>
      <w:r>
        <w:rPr>
          <w:rFonts w:cs="Miriam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Miriam"/>
          <w:sz w:val="22"/>
          <w:sz w:val="22"/>
          <w:szCs w:val="22"/>
          <w:rtl w:val="true"/>
        </w:rPr>
        <w:t>לפי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נסיבותיו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ומידת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אשמו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של</w:t>
      </w:r>
      <w:r>
        <w:rPr>
          <w:rFonts w:ascii="Arial" w:hAnsi="Arial" w:eastAsia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Miriam"/>
          <w:sz w:val="22"/>
          <w:sz w:val="22"/>
          <w:szCs w:val="22"/>
          <w:rtl w:val="true"/>
        </w:rPr>
        <w:t>הנאשם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</w:t>
      </w:r>
      <w:r>
        <w:rPr>
          <w:rtl w:val="true"/>
        </w:rPr>
        <w:t>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בילדיו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19/2/13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25/2/14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סטייה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למטרות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P00"/>
        <w:spacing w:lineRule="auto" w:line="360" w:before="72" w:after="0"/>
        <w:ind w:hanging="907" w:start="1928" w:end="1134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bookmarkStart w:id="10" w:name="_GoBack"/>
      <w:bookmarkEnd w:id="10"/>
      <w:r>
        <w:rPr>
          <w:rStyle w:val="big-number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big-number"/>
          <w:rFonts w:cs="David"/>
          <w:b/>
          <w:bCs/>
          <w:sz w:val="24"/>
          <w:szCs w:val="24"/>
          <w:lang w:val="en-US" w:eastAsia="he-IL"/>
        </w:rPr>
        <w:t>40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ד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  <w:tab/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קבע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בהתאם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לעיקרון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המנחה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ומצא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  <w:lang w:val="en-US" w:eastAsia="he-IL"/>
        </w:rPr>
        <w:t>השתקם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סיכוי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ממש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שישתקם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לחרוג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ממתחם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ולקבוע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שיקולי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שיקומו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וכן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להורות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נקיטת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אמצעי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שיקומי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העמדתו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במבחן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סעיפים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82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86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hyperlink r:id="rId20"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פקודת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rFonts w:ascii="Times New Roman" w:hAnsi="Times New Roman" w:cs="Times New Roman"/>
            <w:b/>
            <w:b/>
            <w:bCs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המבחן</w:t>
        </w:r>
      </w:hyperlink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[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נוסח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חדש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],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התשכ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ט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-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1969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."</w:t>
      </w:r>
    </w:p>
    <w:p>
      <w:pPr>
        <w:pStyle w:val="P00"/>
        <w:spacing w:lineRule="auto" w:line="360" w:before="72" w:after="0"/>
        <w:ind w:start="0" w:end="1134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וחינוכם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י</w:t>
      </w:r>
      <w:r>
        <w:rPr>
          <w:rtl w:val="true"/>
        </w:rPr>
        <w:t>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10/86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זגל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>' (</w:t>
      </w:r>
      <w:r>
        <w:rPr/>
        <w:t>2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772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540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sz w:val="22"/>
          <w:sz w:val="22"/>
          <w:szCs w:val="22"/>
          <w:rtl w:val="true"/>
        </w:rPr>
        <w:t>שיקוליו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האישיים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העבריין</w:t>
      </w:r>
      <w:r>
        <w:rPr>
          <w:rFonts w:cs="Miriam"/>
          <w:sz w:val="22"/>
          <w:szCs w:val="22"/>
          <w:rtl w:val="true"/>
        </w:rPr>
        <w:t xml:space="preserve">- </w:t>
      </w:r>
      <w:r>
        <w:rPr>
          <w:rFonts w:cs="Miriam"/>
          <w:sz w:val="22"/>
          <w:sz w:val="22"/>
          <w:szCs w:val="22"/>
          <w:rtl w:val="true"/>
        </w:rPr>
        <w:t>הצורך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להחזירו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למוטב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ולשקמו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מצבו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הנפשי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ושאר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בעיותיו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האישיות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צריכים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להילקח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בחשבון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בקביעת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עונשו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מידת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החסד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חלק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ממידת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הדין</w:t>
      </w:r>
      <w:r>
        <w:rPr>
          <w:rFonts w:cs="Miriam"/>
          <w:sz w:val="22"/>
          <w:szCs w:val="22"/>
          <w:rtl w:val="true"/>
        </w:rPr>
        <w:t xml:space="preserve">. </w:t>
      </w:r>
      <w:r>
        <w:rPr>
          <w:rFonts w:cs="Miriam"/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עומדת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מחוץ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לדין</w:t>
      </w:r>
      <w:r>
        <w:rPr>
          <w:rFonts w:cs="Miriam"/>
          <w:sz w:val="22"/>
          <w:szCs w:val="22"/>
          <w:rtl w:val="true"/>
        </w:rPr>
        <w:t xml:space="preserve">, </w:t>
      </w:r>
      <w:r>
        <w:rPr>
          <w:rFonts w:cs="Miriam"/>
          <w:sz w:val="22"/>
          <w:sz w:val="22"/>
          <w:szCs w:val="22"/>
          <w:rtl w:val="true"/>
        </w:rPr>
        <w:t>ואין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היא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סותרת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אותו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או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מתנגשת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rFonts w:cs="Miriam"/>
          <w:sz w:val="22"/>
          <w:sz w:val="22"/>
          <w:szCs w:val="22"/>
          <w:rtl w:val="true"/>
        </w:rPr>
        <w:t>בו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-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חינוכי</w:t>
      </w:r>
      <w:r>
        <w:rPr>
          <w:rtl w:val="true"/>
        </w:rPr>
        <w:t>" (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),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bookmarkStart w:id="11" w:name="casename_body"/>
        <w:bookmarkEnd w:id="1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4.11.2014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יתייצב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במשרדי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יחידת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מפקדת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מחוז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צפון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יחידת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רח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הציונות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טבריה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28.12.14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08:00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Cs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Cs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51828-02-14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יודה עטאללה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basedOn w:val="default"/>
    <w:qFormat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d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151556" TargetMode="External"/><Relationship Id="rId11" Type="http://schemas.openxmlformats.org/officeDocument/2006/relationships/hyperlink" Target="http://www.nevo.co.il/case/5859902" TargetMode="External"/><Relationship Id="rId12" Type="http://schemas.openxmlformats.org/officeDocument/2006/relationships/hyperlink" Target="http://www.nevo.co.il/case/5810660" TargetMode="External"/><Relationship Id="rId13" Type="http://schemas.openxmlformats.org/officeDocument/2006/relationships/hyperlink" Target="http://www.nevo.co.il/case/5724364" TargetMode="External"/><Relationship Id="rId14" Type="http://schemas.openxmlformats.org/officeDocument/2006/relationships/hyperlink" Target="http://www.nevo.co.il/case/6039049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5703734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1553" TargetMode="External"/><Relationship Id="rId21" Type="http://schemas.openxmlformats.org/officeDocument/2006/relationships/hyperlink" Target="http://www.nevo.co.il/law/70301/40d.b" TargetMode="External"/><Relationship Id="rId22" Type="http://schemas.openxmlformats.org/officeDocument/2006/relationships/hyperlink" Target="http://www.nevo.co.il/law/70301/40d.a" TargetMode="External"/><Relationship Id="rId23" Type="http://schemas.openxmlformats.org/officeDocument/2006/relationships/hyperlink" Target="http://www.nevo.co.il/case/17943753" TargetMode="External"/><Relationship Id="rId24" Type="http://schemas.openxmlformats.org/officeDocument/2006/relationships/hyperlink" Target="http://www.nevo.co.il/case/13015506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2014-12-07T09:01:00Z</dcterms:created>
  <dc:creator> </dc:creator>
  <dc:description/>
  <cp:keywords/>
  <dc:language>en-IL</dc:language>
  <cp:lastModifiedBy>hofit</cp:lastModifiedBy>
  <dcterms:modified xsi:type="dcterms:W3CDTF">2014-12-07T09:01:00Z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יודה עטאללה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6151556;5859902;5810660;5724364;6039049;6473037;5703734;5821327;17943753;13015506</vt:lpwstr>
  </property>
  <property fmtid="{D5CDD505-2E9C-101B-9397-08002B2CF9AE}" pid="10" name="CITY">
    <vt:lpwstr>חי'</vt:lpwstr>
  </property>
  <property fmtid="{D5CDD505-2E9C-101B-9397-08002B2CF9AE}" pid="11" name="DATE">
    <vt:lpwstr>20141201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תמר שרון נתנאל</vt:lpwstr>
  </property>
  <property fmtid="{D5CDD505-2E9C-101B-9397-08002B2CF9AE}" pid="15" name="LAWLISTTMP1">
    <vt:lpwstr>70301/144.b;040d;040d.b;040d.a</vt:lpwstr>
  </property>
  <property fmtid="{D5CDD505-2E9C-101B-9397-08002B2CF9AE}" pid="16" name="LAWLISTTMP2">
    <vt:lpwstr>71553</vt:lpwstr>
  </property>
  <property fmtid="{D5CDD505-2E9C-101B-9397-08002B2CF9AE}" pid="17" name="LAWYER">
    <vt:lpwstr>מאדי דאהר;אילנה קוזמינר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51828</vt:lpwstr>
  </property>
  <property fmtid="{D5CDD505-2E9C-101B-9397-08002B2CF9AE}" pid="24" name="NEWPARTB">
    <vt:lpwstr>02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390020141201</vt:lpwstr>
  </property>
  <property fmtid="{D5CDD505-2E9C-101B-9397-08002B2CF9AE}" pid="36" name="TYPE_N_DATE">
    <vt:lpwstr>39020141201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