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0"/>
        <w:gridCol w:w="368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לפני כבוד סגן הנשיאה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השופט אליהו ביתן</w:t>
            </w:r>
          </w:p>
        </w:tc>
        <w:tc>
          <w:tcPr>
            <w:tcW w:w="3681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באפריל </w:t>
            </w:r>
            <w:r>
              <w:rPr>
                <w:rFonts w:cs="David" w:ascii="David" w:hAnsi="David"/>
                <w:b/>
                <w:bCs/>
              </w:rPr>
              <w:t>2021</w:t>
            </w:r>
          </w:p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5186-03-20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לומברוזו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526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188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7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4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26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4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מיכאל סולומון לומברוזו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עסיס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לביא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גילת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וקסלר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  <w:t>&lt;</w:t>
      </w:r>
      <w:r>
        <w:rPr>
          <w:b w:val="false"/>
          <w:bCs w:val="false"/>
          <w:sz w:val="6"/>
          <w:szCs w:val="6"/>
          <w:u w:val="none"/>
        </w:rPr>
        <w:t>#4#</w:t>
      </w:r>
      <w:r>
        <w:rPr>
          <w:b w:val="false"/>
          <w:bCs w:val="false"/>
          <w:sz w:val="6"/>
          <w:szCs w:val="6"/>
          <w:u w:val="none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color w:val="0000FF"/>
          <w:sz w:val="28"/>
          <w:szCs w:val="28"/>
        </w:rPr>
      </w:pPr>
      <w:r>
        <w:rPr>
          <w:rFonts w:cs="FrankRuehl" w:ascii="FrankRuehl" w:hAnsi="FrankRuehl"/>
          <w:b/>
          <w:bCs/>
          <w:color w:val="0000FF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25.02.20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טלגרם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1" w:name="ABSTRACT_END"/>
      <w:bookmarkEnd w:id="11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להיקלט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", </w:t>
      </w:r>
      <w:r>
        <w:rPr>
          <w:rtl w:val="true"/>
        </w:rPr>
        <w:t>ונקבעה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ונעשו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. </w:t>
      </w:r>
      <w:r>
        <w:rPr>
          <w:rtl w:val="true"/>
        </w:rPr>
        <w:t>ודווח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22.02.21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טענה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המומלץ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נתוניו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והמשפחתיים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הצטרפה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הטריגר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להתמכרות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טראומות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הצבאי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tl w:val="true"/>
        </w:rPr>
        <w:t xml:space="preserve">, </w:t>
      </w:r>
      <w:r>
        <w:rPr>
          <w:rtl w:val="true"/>
        </w:rPr>
        <w:t>בנשיאתו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מכירתו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במיוחד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ובשאיפתו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המומלצת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lang w:eastAsia="he-IL"/>
        </w:rPr>
        <w:t>1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32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בפועל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בניכוי ימי מעצרו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lang w:eastAsia="he-IL"/>
        </w:rPr>
        <w:t>2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9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חודשי מאסר על תנאי למשך </w:t>
      </w:r>
      <w:r>
        <w:rPr>
          <w:rFonts w:cs="FrankRuehl" w:ascii="FrankRuehl" w:hAnsi="FrankRuehl"/>
          <w:color w:val="000000"/>
          <w:lang w:eastAsia="he-IL"/>
        </w:rPr>
        <w:t>3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שנים מיום שחרורו מהמאסר שלא יעבור עבירת נשק שהיא פשע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b/>
          <w:bCs/>
          <w:color w:val="000000"/>
          <w:lang w:eastAsia="he-IL"/>
        </w:rPr>
      </w:pPr>
      <w:r>
        <w:rPr>
          <w:rFonts w:cs="FrankRuehl" w:ascii="FrankRuehl" w:hAnsi="FrankRuehl"/>
          <w:b/>
          <w:bCs/>
          <w:color w:val="000000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b/>
          <w:bCs/>
          <w:color w:val="000000"/>
          <w:lang w:eastAsia="he-IL"/>
        </w:rPr>
      </w:pPr>
      <w:r>
        <w:rPr>
          <w:rFonts w:ascii="FrankRuehl" w:hAnsi="FrankRuehl" w:cs="FrankRuehl"/>
          <w:b/>
          <w:b/>
          <w:bCs/>
          <w:color w:val="000000"/>
          <w:rtl w:val="true"/>
          <w:lang w:eastAsia="he-IL"/>
        </w:rPr>
        <w:t xml:space="preserve">זכות ערעור תוך </w:t>
      </w:r>
      <w:r>
        <w:rPr>
          <w:rFonts w:cs="FrankRuehl" w:ascii="FrankRuehl" w:hAnsi="FrankRuehl"/>
          <w:b/>
          <w:bCs/>
          <w:color w:val="000000"/>
          <w:lang w:eastAsia="he-IL"/>
        </w:rPr>
        <w:t>45</w:t>
      </w:r>
      <w:r>
        <w:rPr>
          <w:rFonts w:cs="FrankRuehl" w:ascii="FrankRuehl" w:hAnsi="FrankRuehl"/>
          <w:b/>
          <w:bCs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  <w:lang w:eastAsia="he-IL"/>
        </w:rPr>
        <w:t>יום</w:t>
      </w:r>
      <w:r>
        <w:rPr>
          <w:rFonts w:cs="FrankRuehl" w:ascii="FrankRuehl" w:hAnsi="FrankRuehl"/>
          <w:b/>
          <w:bCs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b/>
          <w:bCs/>
          <w:color w:val="000000"/>
          <w:sz w:val="6"/>
          <w:szCs w:val="6"/>
          <w:lang w:eastAsia="he-IL"/>
        </w:rPr>
      </w:pPr>
      <w:r>
        <w:rPr>
          <w:rFonts w:cs="FrankRuehl" w:ascii="FrankRuehl" w:hAnsi="FrankRuehl"/>
          <w:b/>
          <w:bCs/>
          <w:color w:val="000000"/>
          <w:sz w:val="6"/>
          <w:szCs w:val="6"/>
          <w:rtl w:val="true"/>
          <w:lang w:eastAsia="he-IL"/>
        </w:rPr>
        <w:t>&lt;</w:t>
      </w:r>
      <w:r>
        <w:rPr>
          <w:rFonts w:cs="FrankRuehl" w:ascii="FrankRuehl" w:hAnsi="FrankRuehl"/>
          <w:b/>
          <w:bCs/>
          <w:color w:val="000000"/>
          <w:sz w:val="6"/>
          <w:szCs w:val="6"/>
          <w:lang w:eastAsia="he-IL"/>
        </w:rPr>
        <w:t>#6#</w:t>
      </w:r>
      <w:r>
        <w:rPr>
          <w:rFonts w:cs="FrankRuehl" w:ascii="FrankRuehl" w:hAnsi="FrankRuehl"/>
          <w:b/>
          <w:bCs/>
          <w:color w:val="000000"/>
          <w:sz w:val="6"/>
          <w:szCs w:val="6"/>
          <w:rtl w:val="true"/>
          <w:lang w:eastAsia="he-IL"/>
        </w:rPr>
        <w:t>&gt;</w:t>
      </w:r>
    </w:p>
    <w:p>
      <w:pPr>
        <w:pStyle w:val="Normal"/>
        <w:ind w:end="0"/>
        <w:jc w:val="end"/>
        <w:rPr>
          <w:rFonts w:ascii="David" w:hAnsi="David" w:eastAsia="David" w:cs="David"/>
          <w:b/>
          <w:bCs/>
          <w:color w:val="000000"/>
          <w:sz w:val="6"/>
          <w:szCs w:val="6"/>
          <w:lang w:eastAsia="he-IL"/>
        </w:rPr>
      </w:pPr>
      <w:r>
        <w:rPr>
          <w:rFonts w:eastAsia="David" w:cs="David" w:ascii="David" w:hAnsi="David"/>
          <w:b/>
          <w:bCs/>
          <w:color w:val="000000"/>
          <w:sz w:val="6"/>
          <w:szCs w:val="6"/>
          <w:rtl w:val="true"/>
          <w:lang w:eastAsia="he-IL"/>
        </w:rPr>
      </w:r>
    </w:p>
    <w:p>
      <w:pPr>
        <w:pStyle w:val="Normal"/>
        <w:ind w:end="0"/>
        <w:jc w:val="end"/>
        <w:rPr>
          <w:rFonts w:ascii="David" w:hAnsi="David" w:cs="David"/>
        </w:rPr>
      </w:pPr>
      <w:bookmarkStart w:id="12" w:name="Nitan"/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>ניתנה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והודעה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ניסן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12/04/2021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במעמד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הנוכחים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2"/>
    </w:p>
    <w:tbl>
      <w:tblPr>
        <w:bidiVisual w:val="true"/>
        <w:tblW w:w="4851" w:type="dxa"/>
        <w:jc w:val="start"/>
        <w:tblInd w:w="22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51"/>
      </w:tblGrid>
      <w:tr>
        <w:trPr>
          <w:trHeight w:val="316" w:hRule="atLeast"/>
        </w:trPr>
        <w:tc>
          <w:tcPr>
            <w:tcW w:w="4851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48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end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5186-03-20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סולומון לומברוזו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2021-04-20T13:20:00Z</dcterms:created>
  <dc:creator> </dc:creator>
  <dc:description/>
  <cp:keywords/>
  <dc:language>en-IL</dc:language>
  <cp:lastModifiedBy>h10</cp:lastModifiedBy>
  <dcterms:modified xsi:type="dcterms:W3CDTF">2021-04-20T13:20:00Z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מיכאל סולומון לומברוזו</vt:lpwstr>
  </property>
  <property fmtid="{D5CDD505-2E9C-101B-9397-08002B2CF9AE}" pid="4" name="BOOKGROUPTMP1">
    <vt:lpwstr>2550:2</vt:lpwstr>
  </property>
  <property fmtid="{D5CDD505-2E9C-101B-9397-08002B2CF9AE}" pid="5" name="CITY">
    <vt:lpwstr>ב"ש</vt:lpwstr>
  </property>
  <property fmtid="{D5CDD505-2E9C-101B-9397-08002B2CF9AE}" pid="6" name="DATE">
    <vt:lpwstr>20210412</vt:lpwstr>
  </property>
  <property fmtid="{D5CDD505-2E9C-101B-9397-08002B2CF9AE}" pid="7" name="ISABSTRACT">
    <vt:lpwstr>Y</vt:lpwstr>
  </property>
  <property fmtid="{D5CDD505-2E9C-101B-9397-08002B2CF9AE}" pid="8" name="JUDGE">
    <vt:lpwstr>אליהו ביתן</vt:lpwstr>
  </property>
  <property fmtid="{D5CDD505-2E9C-101B-9397-08002B2CF9AE}" pid="9" name="LAWLISTTMP1">
    <vt:lpwstr>70301/144.b2</vt:lpwstr>
  </property>
  <property fmtid="{D5CDD505-2E9C-101B-9397-08002B2CF9AE}" pid="10" name="LAWYER">
    <vt:lpwstr>חן עסיס לביא;גילת וקסלר</vt:lpwstr>
  </property>
  <property fmtid="{D5CDD505-2E9C-101B-9397-08002B2CF9AE}" pid="11" name="NEWPARTA">
    <vt:lpwstr>5186</vt:lpwstr>
  </property>
  <property fmtid="{D5CDD505-2E9C-101B-9397-08002B2CF9AE}" pid="12" name="NEWPARTB">
    <vt:lpwstr>03</vt:lpwstr>
  </property>
  <property fmtid="{D5CDD505-2E9C-101B-9397-08002B2CF9AE}" pid="13" name="NEWPARTC">
    <vt:lpwstr>20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390020210412</vt:lpwstr>
  </property>
  <property fmtid="{D5CDD505-2E9C-101B-9397-08002B2CF9AE}" pid="18" name="TYPE_N_DATE">
    <vt:lpwstr>39020210412</vt:lpwstr>
  </property>
  <property fmtid="{D5CDD505-2E9C-101B-9397-08002B2CF9AE}" pid="19" name="WORDNUMPAGES">
    <vt:lpwstr>3</vt:lpwstr>
  </property>
</Properties>
</file>