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51916-02-16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בדיר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אוגוסט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51942-02-16</w:t>
            </w:r>
          </w:p>
        </w:tc>
      </w:tr>
    </w:tbl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שופטת דנה מרשק מרום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אחמד בדיר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בראא סרסור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עצור בפיקוח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איריס פיקר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רומח שביט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 xml:space="preserve">התייצב 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color w:val="FF0000"/>
          <w:sz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color w:val="FF0000"/>
          <w:sz w:val="28"/>
        </w:rPr>
      </w:pPr>
      <w:r>
        <w:rPr>
          <w:rFonts w:cs="FrankRuehl" w:ascii="FrankRuehl" w:hAnsi="FrankRuehl"/>
          <w:b/>
          <w:color w:val="FF0000"/>
          <w:sz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FF0000"/>
        </w:rPr>
      </w:pPr>
      <w:r>
        <w:rPr>
          <w:rFonts w:ascii="FrankRuehl" w:hAnsi="FrankRuehl" w:cs="FrankRuehl"/>
          <w:color w:val="FF0000"/>
          <w:rtl w:val="true"/>
        </w:rPr>
        <w:t>חקיקה שאוזכרה</w:t>
      </w:r>
      <w:r>
        <w:rPr>
          <w:rFonts w:cs="FrankRuehl" w:ascii="FrankRuehl" w:hAnsi="FrankRuehl"/>
          <w:color w:val="FF0000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31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color w:val="0000FF"/>
          <w:sz w:val="28"/>
          <w:szCs w:val="28"/>
          <w:u w:val="single"/>
        </w:rPr>
      </w:pPr>
      <w:r>
        <w:rPr>
          <w:rFonts w:cs="Arial" w:ascii="Arial" w:hAnsi="Arial"/>
          <w:b/>
          <w:bCs/>
          <w:color w:val="0000FF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bookmarkStart w:id="6" w:name="PsakDin"/>
      <w:bookmarkEnd w:id="6"/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(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נאשם </w:t>
      </w:r>
      <w:r>
        <w:rPr>
          <w:rFonts w:cs="Arial" w:ascii="Arial" w:hAnsi="Arial"/>
          <w:b/>
          <w:bCs/>
          <w:sz w:val="26"/>
          <w:szCs w:val="26"/>
          <w:u w:val="single"/>
        </w:rPr>
        <w:t>2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bookmarkStart w:id="7" w:name="ABSTRACT_START"/>
      <w:bookmarkEnd w:id="7"/>
      <w:r>
        <w:rPr>
          <w:rFonts w:ascii="Arial" w:hAnsi="Arial" w:cs="Arial"/>
          <w:rtl w:val="true"/>
        </w:rPr>
        <w:t>הנאשם הורשע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הודייתו בעובדות כתב אישום 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בביצוע עבירות של סיוע לאחזקת נשק לפי </w:t>
      </w:r>
      <w:hyperlink r:id="rId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יחד עם </w:t>
      </w:r>
      <w:hyperlink r:id="rId6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וסיוע לאחזקת תחמושת ואביזר לנשק לפי </w:t>
      </w:r>
      <w:hyperlink r:id="rId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סיפא יחד עם </w:t>
      </w:r>
      <w:hyperlink r:id="rId9">
        <w:r>
          <w:rPr>
            <w:rStyle w:val="Hyperlink"/>
            <w:rFonts w:cs="Arial" w:ascii="Arial" w:hAnsi="Arial"/>
          </w:rPr>
          <w:t>31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8" w:name="ABSTRACT_END"/>
      <w:bookmarkEnd w:id="8"/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עובדות האירוע נושא כתב האישום המתוקן פורטו בגזר הדין שניתן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השופטת ברודי בעניינו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14.7.16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כתב האישום המתוקן משקף את חלקו של הנאשם כמסייע לאותו אירוע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הצדדים עתרו במשותף בעניינו של הנאשם שלפניי לעונש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בעבירות נשק ואלימות וכן 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ההגנה עתרה לכך שיושת קנס מתון ככל האפשר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במרכזו של הסדר הטיעון מצוי קושי ראייתי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אליו התייחסה גם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השופטת ברודי בגזר דינו של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כאשר הסדר הטיעון הוא תוצר של הליך גישור שיטתי וכן מגעים בין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לאחר שעיינתי בטיעוני הצדדים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בכתבה 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בגזר דין שניתן בעניינו של העבריין העיקרי וכן על רקע חוות דעתו של הממונה על עבודות השירות אני קובעת כי הסדר הטיעון מצוי במתחם הסבירות ולכן אכבדו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 xml:space="preserve">מאסר בפועל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אשר ירוצה בדרך של 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עבודות השירות יבוצעו בבית החולים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בלינסון</w:t>
      </w:r>
      <w:r>
        <w:rPr>
          <w:rFonts w:cs="Arial" w:ascii="Arial" w:hAnsi="Arial"/>
          <w:rtl w:val="true"/>
        </w:rPr>
        <w:t xml:space="preserve">"  </w:t>
      </w:r>
      <w:r>
        <w:rPr>
          <w:rFonts w:ascii="Arial" w:hAnsi="Arial" w:cs="Arial"/>
          <w:rtl w:val="true"/>
        </w:rPr>
        <w:t xml:space="preserve">בימים ובשעות המפורטים בחוות דעת הממונה מיום </w:t>
      </w:r>
      <w:r>
        <w:rPr>
          <w:rFonts w:cs="Arial" w:ascii="Arial" w:hAnsi="Arial"/>
        </w:rPr>
        <w:t>24.7.16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והחל מיום </w:t>
      </w:r>
      <w:r>
        <w:rPr>
          <w:rFonts w:cs="Arial" w:ascii="Arial" w:hAnsi="Arial"/>
        </w:rPr>
        <w:t>6.9.16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 xml:space="preserve">במועד זה על הנאשם להתייצב עד השעה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במפקדת מחוז מרכז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יחידת עבודות השירות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מובהר לנאשם כי עליו לעדכן את משרדי הממונה בכל שינוי אם יחול בכתובת מגוריו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עליו לעמוד בתנאי הפיקוח ובביקורות פתע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מובהר כי כל הפרה בעבודות השירות תביא להפסקה מנהלית וריצוי העונש ומאסר ממש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לא ייש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 xml:space="preserve"> בעונש זה אלא אם יעבור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מהיום עבירת נשק מסוג פשע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עבירת אלימות מסוג פשע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לא ייש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 xml:space="preserve"> בעונש זה אלא אם יעבור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מהיום עבירת נשק מסוג עוון ו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>או עבירת אלימות מסוג עוון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2,000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 אותו ניתן לקזז בהסכמה מהפיקדון המצוי בתיק 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ת הקשור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הודעה זכות ערעור לבית המשפט העליון בתוך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מהיום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#4#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 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01/08/2016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דנה מרשק מרום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דנה מרשק מרום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color w:val="0000FF"/>
          <w:sz w:val="22"/>
          <w:szCs w:val="22"/>
          <w:u w:val="single"/>
        </w:rPr>
      </w:pPr>
      <w:r>
        <w:rPr>
          <w:color w:val="0000FF"/>
          <w:sz w:val="22"/>
          <w:szCs w:val="22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51916-02-16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 בדיר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31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2016-08-09T12:28:00Z</dcterms:created>
  <dc:creator> </dc:creator>
  <dc:description/>
  <cp:keywords/>
  <dc:language>en-IL</dc:language>
  <cp:lastModifiedBy>run</cp:lastModifiedBy>
  <dcterms:modified xsi:type="dcterms:W3CDTF">2016-08-09T12:28:00Z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בדיר;בראא סרסור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מרכז</vt:lpwstr>
  </property>
  <property fmtid="{D5CDD505-2E9C-101B-9397-08002B2CF9AE}" pid="9" name="DATE">
    <vt:lpwstr>20160801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דנה מרשק מרום</vt:lpwstr>
  </property>
  <property fmtid="{D5CDD505-2E9C-101B-9397-08002B2CF9AE}" pid="13" name="LAWLISTTMP1">
    <vt:lpwstr>70301/144.a:2;031:2</vt:lpwstr>
  </property>
  <property fmtid="{D5CDD505-2E9C-101B-9397-08002B2CF9AE}" pid="14" name="LAWYER">
    <vt:lpwstr>איריס פיקר;רומח שביט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51916</vt:lpwstr>
  </property>
  <property fmtid="{D5CDD505-2E9C-101B-9397-08002B2CF9AE}" pid="21" name="NEWPARTB">
    <vt:lpwstr>02</vt:lpwstr>
  </property>
  <property fmtid="{D5CDD505-2E9C-101B-9397-08002B2CF9AE}" pid="22" name="NEWPARTC">
    <vt:lpwstr>16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390020160801</vt:lpwstr>
  </property>
  <property fmtid="{D5CDD505-2E9C-101B-9397-08002B2CF9AE}" pid="33" name="TYPE_N_DATE">
    <vt:lpwstr>39020160801</vt:lpwstr>
  </property>
  <property fmtid="{D5CDD505-2E9C-101B-9397-08002B2CF9AE}" pid="34" name="VOLUME">
    <vt:lpwstr/>
  </property>
  <property fmtid="{D5CDD505-2E9C-101B-9397-08002B2CF9AE}" pid="35" name="WORDNUMPAGES">
    <vt:lpwstr>2</vt:lpwstr>
  </property>
</Properties>
</file>