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51971-12-21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סנימה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עלי אבו סנימה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יאסר אבו סנימה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8" w:name="ABSTRACT_START"/>
      <w:bookmarkEnd w:id="8"/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כא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בעבירות של הסתננות מזוינת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ונשיאת נשק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הנאשמים תושבי רצועת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במועד הרלוונטי לכתב האישום לא היו בעלי היתר כניסה לישראל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8.12.21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קשרו הנאשמים קשר להסתנן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נושאים עימם רימון רסס וסכין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לפני השעה </w:t>
      </w:r>
      <w:r>
        <w:rPr>
          <w:rFonts w:cs="David" w:ascii="David" w:hAnsi="David"/>
        </w:rPr>
        <w:t>22:03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התקרבו הנאשמים לגדר המערכת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ועברו אותה לתוך שטח ישראל במטרה להיעצר על ידי כוחות הביטחון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כוחות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הבחינו בנאשמים ודרשו שיוציאו את מה שבכליהם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נענו לדרישותיהם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פשטו את בגדיהם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זרק את הסכין שנשא עימו על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ובכיס מעילו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הרימון על ידי חיילי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הרימון פוצץ על ידי החיילים במקום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במעשיהם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הסתננו הנאשמים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במעבר 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וכשהם נושאים עימם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סכין ורימון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נשק שביכולתו להמית ללא היתר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הגיעו להסדר טיעון לפיו הנאשמים הודו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בעבירות המפורטות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וההסדר לא כלל הסכמות עונשיות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כ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אשר נפגעו מביצוע העבירות הם זכותה וחובתה של מדינת ישראל לשמור על גבולותיה מפני כניסת מסתננים לשטחה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 בביטחון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חייליה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אזרחיה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ובזכותה של המדינה לשמור על גבולותיה ולקבוע מי יבוא בשעריה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תכלית החוק למניעת הסתננות הינה 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הרתעתית ועל בית המשפט לראות את חשיבות השמירה על זכותה וחובתה של המדינה לשמור על גבולותיה ועל בטחון תושבי מדינת ישראל וכוחות הביטחון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פוטנציאל הסיכון הגלום בעבירת ההסתננות מכפיל עצמו שעה שהמסתננים נושאים על גופם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יש פגיעה בערכי קדושת החיים ושלמות גופם של תושבי מדינת ישראל וכוחות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אחת הקדימו עבירות הנשק מעשים פליליים חמורים ומסוכנים בהרבה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גם במקרה של הסתננות עם נשק מקו האויב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עתרה לקביעת מתחם עונש הולם הנע בין </w:t>
      </w:r>
      <w:r>
        <w:rPr>
          <w:rFonts w:cs="David" w:ascii="David" w:hAnsi="David"/>
        </w:rPr>
        <w:t>3-6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והתבקש למקם את עונשם של הנאשמים בתחתית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ענישה נלווית הכוללת מאסר מותנה ארוך ומרתיע וקנס או מאסר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להטלת הקנס חשיבות יתרה שכן הנאשמים טענו כי הסתננו לשטח ישראל מתוך מניעים כלכליים 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ובהטלת קנס יש כדי לגרום לנאשמים ולרבים אחרים כמותם להבין כי הסתננות מזוינת לשטח ישראל איננה משתלמת גם בהיבט הזה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התייחסה לפסיקה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הפסיקה מתייחסת למסתננים שחדרו לשטח ישראל כשהם נושאים סכין עימם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מדובר ברימון רסס בנוסף לסכין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הפסיקה אליה מפנה היא לפני כשלוש או כארבע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פסיקה טרם התיקון של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לעניין עבירות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הנאשמים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הנוהל לפיו לא מועמדים מסתננים לדין הופסק וחודש לאחרונה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בגין הסתננות עם סכין אין העמדה לדין אולם על הסתננות עם רימון מעמידים לדין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בשני נאשמים 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שהסתננו על מנת להיעצר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כדי לבצע פיגוע או כדומה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לא התנגדו למעצר כי הם באו להיעצר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ברגע שראו חיילים הם מסרו את כל מה שיש להם ולא התנגדו למעצר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עבירת הנשק נבלעת בהסתננות המזוינת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הסתננות המזוינת מתייחס לנשק עצמו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לגבי תיקון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מטרתו למגר את התופעה של אנשים או עבריינים שמחזיקים נשק למשך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שמחזיקים נשק למטרות פליליות או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 החזקת הנשק לתקופה ארוכה ולמגר את תופעת הפשיעה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הנאשמים לא החזיקו נשק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הלכו קנו רימון לפני ההסתננות ולמחרת הרימון היה בידי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בצעירים תושבי עזה שזה המאסר הראשון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ולעולם לא הסתבכו וגם בעזה לא הייתה להם אף פעילות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הנאשמים הודו בהזדמנות 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וחסכו זמן שיפוטי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נטען כי אביו הלך לעולמו לפני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משפחתו מונה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 הכלכלי קשה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הנאשם עובד בחקלאות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סיים כיתה 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מדובר באוכלוסייה שגרה סמוך לגבול אשר סובלים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מרבית המסתננים באים מאותו מקום מאותה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מצוקה כלכלית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נטען כי מדובר במשפחה המונה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עבד לפעמים בחקלאות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וסיים כיתה ג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המצב הכלכלי הכריח אותו להסתנן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מתחם העונש ההולם נע בין שנה לשנה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וההחמרה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טוענת לגביה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צריכה להיות הדרגתית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בפעימה אחת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בתושבי עזה שהמאסר עצמו קשה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אינם מקבלים ביקורים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ואלו נפתחו רק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מנותקים מהמשפחה באופן 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כי אביו נפטר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 הכלכלי בעזה קשה והוא מצטער על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כי הוא מתחרט שבא למדינת ישראל ולא יחזור על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עשה צינתור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איש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רוצה להתפרנס לחיות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עם רימון וסכין בכוונה כדי שבגבול לא יחזירו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</w:t>
      </w:r>
      <w:r>
        <w:rPr>
          <w:rFonts w:ascii="David" w:hAnsi="David"/>
          <w:rtl w:val="true"/>
        </w:rPr>
        <w:t>צה להיתפס דרך צבא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 </w:t>
      </w:r>
      <w:r>
        <w:rPr>
          <w:rFonts w:ascii="Calibri Light" w:hAnsi="Calibri Light" w:cs="Calibri Light"/>
          <w:rtl w:val="true"/>
          <w:lang w:eastAsia="he-IL"/>
        </w:rPr>
        <w:t>הנאשמים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ביצעו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מזוינת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ונשיאת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נשק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בכך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שהתקרבו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לגדר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המערכת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ועברו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אותה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לתוך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שטח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ישראל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כאשר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נאשם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cs="Calibri Light" w:ascii="Calibri Light" w:hAnsi="Calibri Light"/>
          <w:lang w:eastAsia="he-IL"/>
        </w:rPr>
        <w:t>1</w:t>
      </w:r>
      <w:r>
        <w:rPr>
          <w:rFonts w:cs="Calibri Light" w:ascii="Calibri Light" w:hAnsi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נשא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עמו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סכין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ונאשם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cs="Calibri Light" w:ascii="Calibri Light" w:hAnsi="Calibri Light"/>
          <w:lang w:eastAsia="he-IL"/>
        </w:rPr>
        <w:t>2</w:t>
      </w:r>
      <w:r>
        <w:rPr>
          <w:rFonts w:cs="Calibri Light" w:ascii="Calibri Light" w:hAnsi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נשא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עמו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רימון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העבירות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אשר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ביצעו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הנאשמים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הינן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חמורות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בפרט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בנסיבות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ביצוען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עם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רימון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רסס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שהינו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כלי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נשק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שבכוחו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להמית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ועם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סכין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מהגבול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ההיבט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הביטחוני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לאירועים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חמור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על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רקע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המציאות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הביטחונית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במקום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להסתננות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השלכות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ביטחוניות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ברורות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ותוצאתה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הקצאת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כוחות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צבא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לאירוע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ההסתננות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העמדת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כוחות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הצבא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בסיכון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הכרוך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בפעילות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בקו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הגבול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והמשמעות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הכספית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הכרוכה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בכך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בביצוע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העבירות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פגעו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הנאשמים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בערכים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המוגנים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שהם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בטחון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המדינה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ובטחון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חייליה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ואזרחיה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ריבונות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המדינה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וסמכותה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לקבוע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יבוא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בשעריה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וזאת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בנוסף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לפגיעה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באינטרסים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כלכליים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בשל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הצורך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בהשקעת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משאבים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אנושיים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וכלכלים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למניעת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הסתננות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ascii="Calibri Light" w:hAnsi="Calibri Light" w:cs="Calibri Light"/>
          <w:rtl w:val="true"/>
          <w:lang w:eastAsia="he-IL"/>
        </w:rPr>
        <w:t>תכלית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חוק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הינה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תכלית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ביטחונית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הרתעתית</w:t>
      </w:r>
      <w:r>
        <w:rPr>
          <w:rFonts w:cs="Calibri Light" w:ascii="Calibri Light" w:hAnsi="Calibri Light"/>
          <w:rtl w:val="true"/>
          <w:lang w:eastAsia="he-IL"/>
        </w:rPr>
        <w:t xml:space="preserve">, </w:t>
      </w:r>
      <w:r>
        <w:rPr>
          <w:rFonts w:ascii="Calibri Light" w:hAnsi="Calibri Light" w:cs="Calibri Light"/>
          <w:rtl w:val="true"/>
          <w:lang w:eastAsia="he-IL"/>
        </w:rPr>
        <w:t>ולעבירת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ההסתננות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היבט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בטחוני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גם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כאשר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נטען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כי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מדובר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בכניסה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למטרות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כלכליות</w:t>
      </w:r>
      <w:r>
        <w:rPr>
          <w:rFonts w:cs="Calibri Light" w:ascii="Calibri Light" w:hAnsi="Calibri Light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cs="Calibri Light"/>
          <w:lang w:eastAsia="he-IL"/>
        </w:rPr>
      </w:pPr>
      <w:r>
        <w:rPr>
          <w:rFonts w:cs="Calibri Light" w:ascii="Calibri Light" w:hAnsi="Calibri Light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 Light" w:hAnsi="Calibri Light" w:cs="Calibri Light"/>
          <w:rtl w:val="true"/>
          <w:lang w:eastAsia="he-IL"/>
        </w:rPr>
        <w:t>לעניין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זה</w:t>
      </w:r>
      <w:r>
        <w:rPr>
          <w:rFonts w:ascii="Calibri Light" w:hAnsi="Calibri Light" w:cs="Calibri Light"/>
          <w:rtl w:val="true"/>
          <w:lang w:eastAsia="he-IL"/>
        </w:rPr>
        <w:t xml:space="preserve"> </w:t>
      </w:r>
      <w:r>
        <w:rPr>
          <w:rFonts w:ascii="Calibri Light" w:hAnsi="Calibri Light" w:cs="Calibri Light"/>
          <w:rtl w:val="true"/>
          <w:lang w:eastAsia="he-IL"/>
        </w:rPr>
        <w:t>ר</w:t>
      </w:r>
      <w:r>
        <w:rPr>
          <w:rFonts w:cs="Calibri Light" w:ascii="Calibri Light" w:hAnsi="Calibri Light"/>
          <w:rtl w:val="true"/>
          <w:lang w:eastAsia="he-IL"/>
        </w:rPr>
        <w:t xml:space="preserve">'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10.6.2009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נדגיש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ההסתננות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נכבדות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משפחותיהם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5746/06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31.7.2007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ההיסטוריה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החקיקתית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>. 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מהוראותיו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b/>
          <w:bCs/>
          <w:rtl w:val="true"/>
        </w:rPr>
        <w:t xml:space="preserve">. ...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הרתעתית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ור</w:t>
      </w:r>
      <w:r>
        <w:rPr>
          <w:rtl w:val="true"/>
        </w:rPr>
        <w:t xml:space="preserve">'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5/7/2006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ההימצאות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חציית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היבטים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והנועז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בריבונותן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השקעת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ולרוחבו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הרפתקה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למציאות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5059/09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שרתאחה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>)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b/>
          <w:bCs/>
          <w:rtl w:val="true"/>
        </w:rPr>
        <w:t>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7716/14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20.4.2015</w:t>
      </w:r>
      <w:r>
        <w:rPr>
          <w:rtl w:val="true"/>
        </w:rPr>
        <w:t xml:space="preserve">) -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5059/09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שרתאחה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 xml:space="preserve">) –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>-</w:t>
      </w:r>
      <w:r>
        <w:rPr>
          <w:rtl w:val="true"/>
        </w:rPr>
        <w:t>תקוה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30475-12-13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25.12.2013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36418-08-14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8999-05-14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23.7.2014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39377-03-13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יפניות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68386-05-19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7.11.2019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לגדר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קרינאוי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1207/16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21.4.2016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ולהסתננות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(</w:t>
      </w:r>
      <w:r>
        <w:rPr/>
        <w:t>19.4.2004</w:t>
      </w:r>
      <w:r>
        <w:rPr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rtl w:val="true"/>
        </w:rPr>
        <w:t xml:space="preserve">וכן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צדוק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בו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מסוכנותם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הרבה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חומרי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נפץ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ומטעני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חבלה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ידועה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דעת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סכנת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נפשות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פשוטו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כמשמעו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שומה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להרתם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למגר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תופעה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נשיאה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והובלה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בחיי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אדם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עסקינן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לפשרות</w:t>
      </w:r>
      <w:r>
        <w:rPr>
          <w:b/>
          <w:bCs/>
          <w:sz w:val="20"/>
          <w:rtl w:val="true"/>
        </w:rPr>
        <w:t xml:space="preserve">. ...".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1999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5059/09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שרתאחה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 xml:space="preserve">)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90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מהנאשמים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27.11.21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למניעת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הסתננות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עבירות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ושיפוט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  <w:b/>
          <w:bCs/>
          <w:lang w:eastAsia="he-IL"/>
        </w:rPr>
      </w:pPr>
      <w:r>
        <w:rPr>
          <w:rFonts w:cs="Times New Roman"/>
          <w:b/>
          <w:bCs/>
          <w:rtl w:val="true"/>
          <w:lang w:eastAsia="he-IL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51971-12-21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אבו סנימה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2" TargetMode="External"/><Relationship Id="rId4" Type="http://schemas.openxmlformats.org/officeDocument/2006/relationships/hyperlink" Target="http://www.nevo.co.il/law/72510/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2510/4" TargetMode="External"/><Relationship Id="rId9" Type="http://schemas.openxmlformats.org/officeDocument/2006/relationships/hyperlink" Target="http://www.nevo.co.il/law/72510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068019" TargetMode="External"/><Relationship Id="rId15" Type="http://schemas.openxmlformats.org/officeDocument/2006/relationships/hyperlink" Target="http://www.nevo.co.il/case/5945006" TargetMode="External"/><Relationship Id="rId16" Type="http://schemas.openxmlformats.org/officeDocument/2006/relationships/hyperlink" Target="http://www.nevo.co.il/case/512799" TargetMode="External"/><Relationship Id="rId17" Type="http://schemas.openxmlformats.org/officeDocument/2006/relationships/hyperlink" Target="http://www.nevo.co.il/case/5991173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18654015" TargetMode="External"/><Relationship Id="rId20" Type="http://schemas.openxmlformats.org/officeDocument/2006/relationships/hyperlink" Target="http://www.nevo.co.il/case/5991173" TargetMode="External"/><Relationship Id="rId21" Type="http://schemas.openxmlformats.org/officeDocument/2006/relationships/hyperlink" Target="http://www.nevo.co.il/case/10525123" TargetMode="External"/><Relationship Id="rId22" Type="http://schemas.openxmlformats.org/officeDocument/2006/relationships/hyperlink" Target="http://www.nevo.co.il/case/17983858" TargetMode="External"/><Relationship Id="rId23" Type="http://schemas.openxmlformats.org/officeDocument/2006/relationships/hyperlink" Target="http://www.nevo.co.il/case/16912381" TargetMode="External"/><Relationship Id="rId24" Type="http://schemas.openxmlformats.org/officeDocument/2006/relationships/hyperlink" Target="http://www.nevo.co.il/case/6850196" TargetMode="External"/><Relationship Id="rId25" Type="http://schemas.openxmlformats.org/officeDocument/2006/relationships/hyperlink" Target="http://www.nevo.co.il/case/25737294" TargetMode="External"/><Relationship Id="rId26" Type="http://schemas.openxmlformats.org/officeDocument/2006/relationships/hyperlink" Target="http://www.nevo.co.il/law/72510/2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case/21478974" TargetMode="External"/><Relationship Id="rId31" Type="http://schemas.openxmlformats.org/officeDocument/2006/relationships/hyperlink" Target="http://www.nevo.co.il/case/2097789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762686" TargetMode="External"/><Relationship Id="rId34" Type="http://schemas.openxmlformats.org/officeDocument/2006/relationships/hyperlink" Target="http://www.nevo.co.il/case/21477388" TargetMode="External"/><Relationship Id="rId35" Type="http://schemas.openxmlformats.org/officeDocument/2006/relationships/hyperlink" Target="http://www.nevo.co.il/law/72510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2023-05-08T09:33:00Z</dcterms:created>
  <dc:creator> </dc:creator>
  <dc:description/>
  <cp:keywords/>
  <dc:language>en-IL</dc:language>
  <cp:lastModifiedBy>h1</cp:lastModifiedBy>
  <dcterms:modified xsi:type="dcterms:W3CDTF">2023-05-08T09:33:00Z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אבו סנימה;יאסר אבו סנימה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6068019;5945006;512799;5991173:2;6473037;18654015;10525123;17983858;16912381;6850196;25737294;21478974;20977894;5762686;21477388</vt:lpwstr>
  </property>
  <property fmtid="{D5CDD505-2E9C-101B-9397-08002B2CF9AE}" pid="9" name="CITY">
    <vt:lpwstr>ב"ש</vt:lpwstr>
  </property>
  <property fmtid="{D5CDD505-2E9C-101B-9397-08002B2CF9AE}" pid="10" name="DATE">
    <vt:lpwstr>20220313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72510/004;002</vt:lpwstr>
  </property>
  <property fmtid="{D5CDD505-2E9C-101B-9397-08002B2CF9AE}" pid="15" name="LAWLISTTMP2">
    <vt:lpwstr>70301/144.b:2;452</vt:lpwstr>
  </property>
  <property fmtid="{D5CDD505-2E9C-101B-9397-08002B2CF9AE}" pid="16" name="LAWYER">
    <vt:lpwstr>נטלי בן שושן ;מוחמד ג'ברין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51971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390020220313</vt:lpwstr>
  </property>
  <property fmtid="{D5CDD505-2E9C-101B-9397-08002B2CF9AE}" pid="35" name="TYPE_N_DATE">
    <vt:lpwstr>39020220313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