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95"/>
        <w:gridCol w:w="2410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09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52000-02-15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נה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</w:p>
        </w:tc>
        <w:tc>
          <w:tcPr>
            <w:tcW w:w="241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נדון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ותד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נדון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מחאג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נה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חאלד חכרוש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עאדל בויראת </w:t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בעצמו </w:t>
      </w:r>
    </w:p>
    <w:p>
      <w:pPr>
        <w:pStyle w:val="Normal"/>
        <w:ind w:end="0"/>
        <w:jc w:val="both"/>
        <w:rPr/>
      </w:pPr>
      <w:r>
        <w:rPr>
          <w:rtl w:val="true"/>
        </w:rPr>
        <w:t>המתורגמנית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נאדיה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tbl>
      <w:tblPr>
        <w:bidiVisual w:val="true"/>
        <w:tblW w:w="901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>
          <w:trHeight w:val="355" w:hRule="atLeast"/>
        </w:trPr>
        <w:tc>
          <w:tcPr>
            <w:tcW w:w="9018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60"/>
        <w:ind w:end="0"/>
        <w:jc w:val="center"/>
        <w:rPr>
          <w:rFonts w:ascii="Calibri" w:hAnsi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cs="Calibri"/>
          <w:b/>
          <w:b/>
          <w:bCs/>
          <w:u w:val="single"/>
          <w:rtl w:val="true"/>
        </w:rPr>
        <w:t>בעניין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בלבד</w:t>
      </w:r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center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b/>
            <w:b/>
            <w:bCs/>
            <w:rtl w:val="true"/>
          </w:rPr>
          <w:t>סעיפים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</w:rPr>
          <w:t>144</w:t>
        </w:r>
        <w:r>
          <w:rPr>
            <w:rStyle w:val="Hyperlink"/>
            <w:rFonts w:cs="Calibri" w:ascii="Calibri" w:hAnsi="Calibri"/>
            <w:b/>
            <w:bCs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b/>
            <w:b/>
            <w:bCs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cs="Calibri" w:ascii="Calibri" w:hAnsi="Calibri"/>
          <w:b/>
          <w:bCs/>
          <w:rtl w:val="true"/>
        </w:rPr>
        <w:t xml:space="preserve">, </w:t>
      </w:r>
      <w:hyperlink r:id="rId13"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 xml:space="preserve">- </w:t>
      </w:r>
      <w:hyperlink r:id="rId14"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29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האחרים</w:t>
      </w:r>
      <w:r>
        <w:rPr>
          <w:rFonts w:cs="Calibri" w:ascii="Calibri" w:hAnsi="Calibri"/>
          <w:b/>
          <w:bCs/>
          <w:rtl w:val="true"/>
        </w:rPr>
        <w:t xml:space="preserve">"),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עובדות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ותד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סאמר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עבדאללה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מחאג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באסל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מחאג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פרחאת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ובאסל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קווליר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67-358-17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השברולט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04/02/15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בכללם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קלצ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ניקוב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תת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תמ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המכלול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אמצעי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לחימה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יועברו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הקשר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הנוסף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04/02/15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ולהעבירם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לסאמר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04/02/15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השברולט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מוחזקים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נישאים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השברולט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הירי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טו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21,800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העסקה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טז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יז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73-401-63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המזדה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ולמוסרם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לסאמר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04/02/15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21:45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יט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21:19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השברולט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21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21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)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להובלתם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כטבח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ותמציתי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מהדינמיקה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בהישגים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התיכונית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באלומיניום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משכורת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פסיכואקטיביים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בהווה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קרוא</w:t>
      </w:r>
      <w:r>
        <w:rPr>
          <w:rFonts w:ascii="Calibri" w:hAnsi="Calibri" w:cs="Calibri"/>
          <w:rtl w:val="true"/>
        </w:rPr>
        <w:t xml:space="preserve"> וכתוב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התפתחותיות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אורגניות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ורגשיות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הסתגלותיות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ותפקודיות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ודומיננטיות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אסטרטגיות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ועקבי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התגבשה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ab/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ההמלצה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משלים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מיום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25.08.2015</w:t>
      </w:r>
      <w:r>
        <w:rPr>
          <w:rFonts w:cs="Calibri" w:ascii="Calibri" w:hAnsi="Calibri"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כן התרשם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מחאג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פרחאת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שנשפט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52101-02-15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מחאג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21.12.2015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b/>
          <w:b/>
          <w:bCs/>
          <w:rtl w:val="true"/>
        </w:rPr>
        <w:t>סומן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סאמר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שנשפט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52009-02-15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ותד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20.06.2016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b/>
          <w:b/>
          <w:bCs/>
          <w:rtl w:val="true"/>
        </w:rPr>
        <w:t>סומן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האחרים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מטעמים של צנעת הפרט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אציין את תוכנו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06.10.2016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בעניינם של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סעב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בהיחבא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ממודרת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חשיפת</w:t>
      </w:r>
      <w:r>
        <w:rPr>
          <w:rFonts w:ascii="Calibri" w:hAnsi="Calibri" w:cs="Calibri"/>
          <w:rtl w:val="true"/>
        </w:rPr>
        <w:t>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 כך 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 שעובר עבירות אלו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בהשוואה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וקפדני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מושלמת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 נ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ולהימנע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ולהמלצותיו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צוין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להישנוּת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ישתקם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cs="Calibri" w:ascii="Calibri" w:hAnsi="Calibri"/>
          <w:b/>
          <w:bCs/>
          <w:u w:val="single"/>
        </w:rPr>
        <w:t>30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ברף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Calibri" w:cs="Calibri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Calibri" w:cs="Calibri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לפסקי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להלן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דוגמאות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5646/15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סאמח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תיהאווי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14.02.2016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וסיפא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לשטיח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לעליון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highlight w:val="yellow"/>
        </w:rPr>
      </w:pPr>
      <w:r>
        <w:rPr>
          <w:rFonts w:cs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761/07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אדרי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22.02.2007</w:t>
      </w:r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עטופים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ומוסתרים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בתחתוניו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49299-07-11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בארין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01.02.2012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והפרעה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שנתפס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וברשותם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ומחסנית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רגלית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והשליך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06.10.2016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טען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</w:t>
      </w:r>
      <w:r>
        <w:rPr>
          <w:rFonts w:ascii="Calibri" w:hAnsi="Calibri" w:cs="Calibri"/>
          <w:rtl w:val="true"/>
        </w:rPr>
        <w:t>ת שב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מהערכתו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</w:t>
      </w:r>
      <w:r>
        <w:rPr>
          <w:rFonts w:ascii="Calibri" w:hAnsi="Calibri" w:cs="Calibri"/>
          <w:rtl w:val="true"/>
        </w:rPr>
        <w:t>חא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בתחמושת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מחמוד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בישיבת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06.10.2016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04.02.2015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26.03.2015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01.11.2015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ובשבתות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נמשכים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ושוחרר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3355/10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28.12.2011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5124/08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טארק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גאבר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04.07.2011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לכריתת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פראחאת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>, [(</w:t>
      </w:r>
      <w:hyperlink r:id="rId23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6716/16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סאמר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ותד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Calibri" w:ascii="Calibri" w:hAnsi="Calibri"/>
          <w:rtl w:val="true"/>
        </w:rPr>
        <w:t>, 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11.09.2016</w:t>
      </w:r>
      <w:r>
        <w:rPr>
          <w:rFonts w:cs="Calibri" w:ascii="Calibri" w:hAnsi="Calibri"/>
          <w:rtl w:val="true"/>
        </w:rPr>
        <w:t xml:space="preserve">)],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התברר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הסנגור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לאמצן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1494-07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פנחס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יעקב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13.03.2007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2849-13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טייצאו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טגבה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13.08.2013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Miriam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בטענותיו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jc w:val="both"/>
        <w:rPr>
          <w:rFonts w:ascii="Calibri" w:hAnsi="Calibri" w:cs="Calibri"/>
        </w:rPr>
      </w:pP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45597-05-15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שיך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עבדאללה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01.09.2016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jc w:val="both"/>
        <w:rPr>
          <w:rFonts w:ascii="Calibri" w:hAnsi="Calibri" w:cs="Calibri"/>
        </w:rPr>
      </w:pP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13153-08-15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עמאש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04.04.2016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440" w:end="0"/>
        <w:jc w:val="both"/>
        <w:rPr>
          <w:rFonts w:ascii="Calibri" w:hAnsi="Calibri" w:cs="Calibri"/>
        </w:rPr>
      </w:pP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7139/12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גורנו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ליאור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07.03.2013</w:t>
      </w:r>
      <w:r>
        <w:rPr>
          <w:rFonts w:cs="Miriam" w:ascii="Calibri" w:hAnsi="Calibri"/>
          <w:rtl w:val="true"/>
        </w:rPr>
        <w:t>),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ורימונים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4549/15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וליאן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גאנם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26.09.2016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5713/10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יהושע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אקרמן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01.03.2011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תגובת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באסל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התבטאות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תימוכין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חוות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ממונה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6.10.16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הממונה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27.10.16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מוחמד נבדק ונמצא כשיר לביצוע עבודות 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בש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וגוברת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אלכרים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Arial" w:ascii="Arial" w:hAnsi="Arial"/>
        </w:rPr>
        <w:t>19.01.2014</w:t>
      </w:r>
      <w:r>
        <w:rPr>
          <w:rFonts w:cs="Arial" w:ascii="Arial" w:hAnsi="Arial"/>
          <w:rtl w:val="true"/>
        </w:rPr>
        <w:t>)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1440" w:end="567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רכישה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וביטחונו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לקיפוח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>, '</w:t>
      </w:r>
      <w:r>
        <w:rPr>
          <w:rFonts w:ascii="Calibri" w:hAnsi="Calibri" w:cs="Miriam"/>
          <w:rtl w:val="true"/>
        </w:rPr>
        <w:t>התגלגלותם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ועוינים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יובילו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ודוק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ופחד</w:t>
      </w:r>
      <w:r>
        <w:rPr>
          <w:rFonts w:cs="Miriam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Miriam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</w:rPr>
          <w:t>9543/09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בילאל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רחאל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מיום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19.01.2010</w:t>
      </w:r>
      <w:r>
        <w:rPr>
          <w:rFonts w:cs="Miriam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start="1440" w:end="567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להכביר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הקלוּת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הבלתי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נסבלת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סובב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נגזרותיו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פעמים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פעמים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בגוף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האדם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ופעמים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מתמזל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המזל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ובסייעתא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דשמיא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גופנית</w:t>
      </w:r>
      <w:r>
        <w:rPr>
          <w:rFonts w:cs="Miriam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עסקת הנשק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מקדים</w:t>
      </w:r>
      <w:r>
        <w:rPr>
          <w:rFonts w:ascii="Calibri" w:hAnsi="Calibri" w:cs="Calibri"/>
          <w:rtl w:val="true"/>
        </w:rPr>
        <w:t xml:space="preserve"> 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>. "</w:t>
      </w:r>
      <w:r>
        <w:rPr>
          <w:rFonts w:ascii="Calibri" w:hAnsi="Calibri" w:cs="Calibri"/>
          <w:rtl w:val="true"/>
        </w:rPr>
        <w:t>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קלאצ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Miriam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חסן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05.06.2013</w:t>
      </w:r>
      <w:r>
        <w:rPr>
          <w:rFonts w:cs="Calibri" w:ascii="Calibri" w:hAnsi="Calibri"/>
          <w:rtl w:val="true"/>
        </w:rPr>
        <w:t>)</w:t>
      </w:r>
      <w:r>
        <w:rPr>
          <w:rFonts w:cs="Miriam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1440" w:end="426"/>
        <w:jc w:val="both"/>
        <w:rPr>
          <w:rFonts w:ascii="Calibri" w:hAnsi="Calibri" w:cs="Calibri"/>
          <w:u w:val="single"/>
        </w:rPr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מתחם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בהתאם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שהרי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כמו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ההיקף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נסחר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הוחזק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הובל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וכיוצא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הקשורות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שקובעים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הכרוך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cs="Miriam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מחמוד לא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לא בעקיפין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בקשר כלשהו לעסקת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הואשם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והודה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כל שעשה </w:t>
      </w:r>
      <w:r>
        <w:rPr>
          <w:rFonts w:ascii="Calibri" w:hAnsi="Calibri" w:cs="Calibri"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נטילת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מפרחאת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תפע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וביצוע ירי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לבדוק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 להקל ראש במעשים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אין להוסיף להם עובדות 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רקע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שאין להם זכר בכתב האישום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אם מדובר במסקנה סבירה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אין זו אלא </w:t>
      </w:r>
      <w:r>
        <w:rPr>
          <w:rFonts w:ascii="Calibri" w:hAnsi="Calibri" w:cs="Calibri"/>
          <w:b/>
          <w:b/>
          <w:bCs/>
          <w:u w:val="single"/>
          <w:rtl w:val="true"/>
        </w:rPr>
        <w:t>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טענה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טענה </w:t>
      </w:r>
      <w:r>
        <w:rPr>
          <w:rFonts w:ascii="Calibri" w:hAnsi="Calibri" w:cs="Calibri"/>
          <w:u w:val="single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של ניסיון קודם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במפורש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מתממשת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אומר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hyperlink r:id="rId34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4526/04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מועאז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זעתרי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08.11.2004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567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ab/>
        <w:t>"</w:t>
      </w:r>
      <w:r>
        <w:rPr>
          <w:rFonts w:ascii="Calibri" w:hAnsi="Calibri" w:cs="Miriam"/>
          <w:rtl w:val="true"/>
        </w:rPr>
        <w:t>בימים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ארגוני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לפעולות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חבלה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והרג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המסכנות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מצווים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והחזקתו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>:</w:t>
      </w:r>
      <w:r>
        <w:rPr>
          <w:rFonts w:cs="Miriam" w:ascii="Calibri" w:hAnsi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5380/06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סלאמה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03.12.2007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start="1440" w:end="567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ניסיון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מלמד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נגנבים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מבעליהם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מוצאים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דרכם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עוי</w:t>
      </w:r>
      <w:r>
        <w:rPr>
          <w:rFonts w:ascii="Calibri" w:hAnsi="Calibri" w:cs="Miriam"/>
          <w:rtl w:val="true"/>
        </w:rPr>
        <w:t>נ</w:t>
      </w:r>
      <w:r>
        <w:rPr>
          <w:rFonts w:ascii="Calibri" w:hAnsi="Calibri" w:cs="Miriam"/>
          <w:rtl w:val="true"/>
        </w:rPr>
        <w:t>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מהססים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כרוכה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סכנת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מפשע</w:t>
      </w:r>
      <w:r>
        <w:rPr>
          <w:rFonts w:cs="Miriam" w:ascii="Calibri" w:hAnsi="Calibri"/>
          <w:rtl w:val="true"/>
        </w:rPr>
        <w:t>...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הבהרנו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ונחזור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ונדגיש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מחייבות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תגובה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תכלול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ממושך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ומדיניות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יושמה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האחרונות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במספר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מועט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cs="Calibri" w:ascii="Calibri" w:hAnsi="Calibri"/>
          <w:rtl w:val="true"/>
        </w:rPr>
        <w:t>:</w:t>
      </w:r>
      <w:r>
        <w:rPr>
          <w:rFonts w:cs="Miriam" w:ascii="Calibri" w:hAnsi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1332/04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יצחק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רפאל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19.04.04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1440" w:end="567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המציאות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רוויה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אלימות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פעולות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חבלה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טרור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עוינים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קיצוניים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חדורי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מוטיבציה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אידאולוגית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לנהוג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מיוחדת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בנושאי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התקפי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למנוע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התדרדרות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המצב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הרגיש</w:t>
      </w:r>
      <w:r>
        <w:rPr>
          <w:rFonts w:cs="Miriam" w:ascii="Calibri" w:hAnsi="Calibri"/>
          <w:rtl w:val="true"/>
        </w:rPr>
        <w:t>...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לפעולות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עשיית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ושפיכות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דמים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ואף לא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ופרחאת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ולפרחאת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באופן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מצויות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7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8668/11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11.10.2012</w:t>
      </w:r>
      <w:r>
        <w:rPr>
          <w:rFonts w:cs="Calibri" w:ascii="Calibri" w:hAnsi="Calibri"/>
          <w:rtl w:val="true"/>
        </w:rPr>
        <w:t>) "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אחידות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השוויון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יסוד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מצבים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מבחינת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האישיות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להחיל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במידת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האפשר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דומים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לדוגמה</w:t>
      </w:r>
      <w:r>
        <w:rPr>
          <w:rFonts w:cs="Calibri" w:ascii="Calibri" w:hAnsi="Calibri"/>
          <w:rtl w:val="true"/>
        </w:rPr>
        <w:t xml:space="preserve">: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45597-05-15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שיך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עבדאללה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01.09.2016</w:t>
      </w:r>
      <w:r>
        <w:rPr>
          <w:rFonts w:cs="Calibri" w:ascii="Calibri" w:hAnsi="Calibri"/>
          <w:rtl w:val="true"/>
        </w:rPr>
        <w:t xml:space="preserve">),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13153-08-15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עמאש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04.04.2016</w:t>
      </w:r>
      <w:r>
        <w:rPr>
          <w:rFonts w:cs="Calibri" w:ascii="Calibri" w:hAnsi="Calibri"/>
          <w:rtl w:val="true"/>
        </w:rPr>
        <w:t xml:space="preserve">),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7139/12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גורנו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ליאור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07.03.2013</w:t>
      </w:r>
      <w:r>
        <w:rPr>
          <w:rFonts w:cs="Calibri" w:ascii="Calibri" w:hAnsi="Calibri"/>
          <w:rtl w:val="true"/>
        </w:rPr>
        <w:t xml:space="preserve">)],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. [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לדוגמה</w:t>
      </w:r>
      <w:r>
        <w:rPr>
          <w:rFonts w:cs="Calibri" w:ascii="Calibri" w:hAnsi="Calibri"/>
          <w:rtl w:val="true"/>
        </w:rPr>
        <w:t xml:space="preserve">: 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56119-02-13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יפרח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02.09.2013</w:t>
      </w:r>
      <w:r>
        <w:rPr>
          <w:rFonts w:cs="Calibri" w:ascii="Calibri" w:hAnsi="Calibri"/>
          <w:rtl w:val="true"/>
        </w:rPr>
        <w:t xml:space="preserve">),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32521-05-13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עמאש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11.11.2014</w:t>
      </w:r>
      <w:r>
        <w:rPr>
          <w:rFonts w:cs="Calibri" w:ascii="Calibri" w:hAnsi="Calibri"/>
          <w:rtl w:val="true"/>
        </w:rPr>
        <w:t xml:space="preserve">),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761/07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22.02.2007</w:t>
      </w:r>
      <w:r>
        <w:rPr>
          <w:rFonts w:cs="Calibri" w:ascii="Calibri" w:hAnsi="Calibri"/>
          <w:rtl w:val="true"/>
        </w:rPr>
        <w:t xml:space="preserve">)].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הפוטנציאלי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פרחאת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ההבדל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גם במסגרת ה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יש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</w:t>
      </w:r>
      <w:r>
        <w:rPr>
          <w:rFonts w:ascii="Calibri" w:hAnsi="Calibri" w:cs="Calibri"/>
          <w:rtl w:val="true"/>
        </w:rPr>
        <w:t>וחודש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ההחלטה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המינהלית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היכולים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יש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הענישה לעולם אינדיבידואלית היא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: 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433/89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ורג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אטיאס 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מדינת ישראל 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 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170</w:t>
      </w:r>
      <w:r>
        <w:rPr>
          <w:rtl w:val="true"/>
        </w:rPr>
        <w:t xml:space="preserve"> (</w:t>
      </w:r>
      <w:r>
        <w:rPr/>
        <w:t>3.10.1989</w:t>
      </w:r>
      <w:r>
        <w:rPr>
          <w:rtl w:val="true"/>
        </w:rPr>
        <w:t>)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Fonts w:ascii="David" w:hAnsi="David"/>
          <w:rtl w:val="true"/>
        </w:rPr>
        <w:t>וכן</w:t>
      </w:r>
      <w:r>
        <w:rPr>
          <w:rFonts w:cs="David" w:ascii="David" w:hAnsi="David"/>
          <w:rtl w:val="true"/>
        </w:rPr>
        <w:t xml:space="preserve">: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6162/11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עטאף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דיאב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06.10.11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ופסקי הדין שנזכרו 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David" w:hAnsi="David"/>
          <w:rtl w:val="true"/>
        </w:rPr>
        <w:t>מחמוד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04.02.2015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26.03.2015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באום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אלומיניום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Calibri" w:ascii="Calibri" w:hAnsi="Calibri"/>
          <w:rtl w:val="true"/>
        </w:rPr>
        <w:tab/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שחסכה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ובהתנצלות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בפניי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את</w:t>
      </w:r>
      <w:r>
        <w:rPr>
          <w:rFonts w:ascii="David" w:hAnsi="David"/>
          <w:rtl w:val="true"/>
        </w:rPr>
        <w:t xml:space="preserve"> 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עלולה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את ה</w:t>
      </w:r>
      <w:r>
        <w:rPr>
          <w:rFonts w:ascii="David" w:hAnsi="David"/>
          <w:rtl w:val="true"/>
        </w:rPr>
        <w:t>סיכויים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לשיקומו</w:t>
      </w:r>
      <w:r>
        <w:rPr>
          <w:rFonts w:ascii="David" w:hAnsi="David"/>
          <w:rtl w:val="true"/>
        </w:rPr>
        <w:t xml:space="preserve"> ובסופו של דבר ולאחר שהבאתי בחשבון גם את התקופה בה שהה הנאשם במעצר בתיק זה ונוכח סיכויי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אחרוג ממתחם העונש ההולם ולא אשלח את הנאשם לריצוי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לאור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האמור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לעיל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גוזרת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מחמוד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העונשים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שירוצו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27.10.16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שהומצאה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מחמוד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ובמועדים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שפורטו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בחוו</w:t>
      </w:r>
      <w:r>
        <w:rPr>
          <w:rFonts w:ascii="David" w:hAnsi="David"/>
          <w:rtl w:val="true"/>
        </w:rPr>
        <w:t>ת 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הממונה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לתחילת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העבודות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5.4.17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הציונות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טבריה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מחמוד מוזהר בזה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בתנאי העסקה קפדניים וכי כל חריגה מכללים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כדי להפסיק את עבודות השירות ולהביא לידי ריצוי יתרת העונש במאסר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ניתן בזה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 מחמוד לעמוד בכל תנאי צו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52000-02-15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/29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0101906" TargetMode="External"/><Relationship Id="rId17" Type="http://schemas.openxmlformats.org/officeDocument/2006/relationships/hyperlink" Target="http://www.nevo.co.il/case/20101796" TargetMode="External"/><Relationship Id="rId18" Type="http://schemas.openxmlformats.org/officeDocument/2006/relationships/hyperlink" Target="http://www.nevo.co.il/case/20531134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case/5579540" TargetMode="External"/><Relationship Id="rId21" Type="http://schemas.openxmlformats.org/officeDocument/2006/relationships/hyperlink" Target="http://www.nevo.co.il/case/6244882" TargetMode="External"/><Relationship Id="rId22" Type="http://schemas.openxmlformats.org/officeDocument/2006/relationships/hyperlink" Target="http://www.nevo.co.il/case/5863832" TargetMode="External"/><Relationship Id="rId23" Type="http://schemas.openxmlformats.org/officeDocument/2006/relationships/hyperlink" Target="http://www.nevo.co.il/case/21478686" TargetMode="External"/><Relationship Id="rId24" Type="http://schemas.openxmlformats.org/officeDocument/2006/relationships/hyperlink" Target="http://www.nevo.co.il/case/5761324" TargetMode="External"/><Relationship Id="rId25" Type="http://schemas.openxmlformats.org/officeDocument/2006/relationships/hyperlink" Target="http://www.nevo.co.il/case/6900736" TargetMode="External"/><Relationship Id="rId26" Type="http://schemas.openxmlformats.org/officeDocument/2006/relationships/hyperlink" Target="http://www.nevo.co.il/case/20307783" TargetMode="External"/><Relationship Id="rId27" Type="http://schemas.openxmlformats.org/officeDocument/2006/relationships/hyperlink" Target="http://www.nevo.co.il/case/20490487" TargetMode="External"/><Relationship Id="rId28" Type="http://schemas.openxmlformats.org/officeDocument/2006/relationships/hyperlink" Target="http://www.nevo.co.il/case/5614477" TargetMode="External"/><Relationship Id="rId29" Type="http://schemas.openxmlformats.org/officeDocument/2006/relationships/hyperlink" Target="http://www.nevo.co.il/case/20416106" TargetMode="External"/><Relationship Id="rId30" Type="http://schemas.openxmlformats.org/officeDocument/2006/relationships/hyperlink" Target="http://www.nevo.co.il/case/5678001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case/5764932" TargetMode="External"/><Relationship Id="rId33" Type="http://schemas.openxmlformats.org/officeDocument/2006/relationships/hyperlink" Target="http://www.nevo.co.il/case/6473037" TargetMode="External"/><Relationship Id="rId34" Type="http://schemas.openxmlformats.org/officeDocument/2006/relationships/hyperlink" Target="http://www.nevo.co.il/case/5962283" TargetMode="External"/><Relationship Id="rId35" Type="http://schemas.openxmlformats.org/officeDocument/2006/relationships/hyperlink" Target="http://www.nevo.co.il/case/6008999" TargetMode="External"/><Relationship Id="rId36" Type="http://schemas.openxmlformats.org/officeDocument/2006/relationships/hyperlink" Target="http://www.nevo.co.il/case/5762686" TargetMode="External"/><Relationship Id="rId37" Type="http://schemas.openxmlformats.org/officeDocument/2006/relationships/hyperlink" Target="http://www.nevo.co.il/case/5859773" TargetMode="External"/><Relationship Id="rId38" Type="http://schemas.openxmlformats.org/officeDocument/2006/relationships/hyperlink" Target="http://www.nevo.co.il/case/20307783" TargetMode="External"/><Relationship Id="rId39" Type="http://schemas.openxmlformats.org/officeDocument/2006/relationships/hyperlink" Target="http://www.nevo.co.il/case/20490487" TargetMode="External"/><Relationship Id="rId40" Type="http://schemas.openxmlformats.org/officeDocument/2006/relationships/hyperlink" Target="http://www.nevo.co.il/case/5614477" TargetMode="External"/><Relationship Id="rId41" Type="http://schemas.openxmlformats.org/officeDocument/2006/relationships/hyperlink" Target="http://www.nevo.co.il/case/6709288" TargetMode="External"/><Relationship Id="rId42" Type="http://schemas.openxmlformats.org/officeDocument/2006/relationships/hyperlink" Target="http://www.nevo.co.il/case/7843715" TargetMode="External"/><Relationship Id="rId43" Type="http://schemas.openxmlformats.org/officeDocument/2006/relationships/hyperlink" Target="http://www.nevo.co.il/case/5724364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17941073" TargetMode="External"/><Relationship Id="rId47" Type="http://schemas.openxmlformats.org/officeDocument/2006/relationships/hyperlink" Target="http://www.nevo.co.il/case/5592444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2017-07-20T14:00:00Z</dcterms:created>
  <dc:creator> </dc:creator>
  <dc:description/>
  <cp:keywords/>
  <dc:language>en-IL</dc:language>
  <cp:lastModifiedBy>run</cp:lastModifiedBy>
  <dcterms:modified xsi:type="dcterms:W3CDTF">2017-07-20T14:00:00Z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מחאג'נה;בסאם ותד;מחמוד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20101906;20101796;20531134;5724364:2;5579540;6244882;5863832;21478686;5761324;6900736;20307783:2;20490487:2;5614477:2;20416106;5678001;7791493;5764932;6473037;5962283;6008999;5762686;5859773;6709288;7843715;17941073;5592444</vt:lpwstr>
  </property>
  <property fmtid="{D5CDD505-2E9C-101B-9397-08002B2CF9AE}" pid="9" name="CITY">
    <vt:lpwstr>חי'</vt:lpwstr>
  </property>
  <property fmtid="{D5CDD505-2E9C-101B-9397-08002B2CF9AE}" pid="10" name="DATE">
    <vt:lpwstr>20161103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70301/144.a;144.c;029.b;40ja</vt:lpwstr>
  </property>
  <property fmtid="{D5CDD505-2E9C-101B-9397-08002B2CF9AE}" pid="15" name="LAWYER">
    <vt:lpwstr>חאלד חכרוש;עאדל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52000</vt:lpwstr>
  </property>
  <property fmtid="{D5CDD505-2E9C-101B-9397-08002B2CF9AE}" pid="22" name="NEWPARTB">
    <vt:lpwstr>02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390020161103</vt:lpwstr>
  </property>
  <property fmtid="{D5CDD505-2E9C-101B-9397-08002B2CF9AE}" pid="34" name="TYPE_N_DATE">
    <vt:lpwstr>39020161103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