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52101-02-15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21/12/2015</w:t>
      </w:r>
      <w:r>
        <w:rPr>
          <w:b/>
          <w:bCs/>
          <w:sz w:val="28"/>
          <w:szCs w:val="28"/>
          <w:rtl w:val="true"/>
        </w:rPr>
        <w:t xml:space="preserve"> </w:t>
        <w:tab/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3"/>
        <w:gridCol w:w="6715"/>
        <w:gridCol w:w="1363"/>
      </w:tblGrid>
      <w:tr>
        <w:trPr>
          <w:trHeight w:val="295" w:hRule="atLeast"/>
        </w:trPr>
        <w:tc>
          <w:tcPr>
            <w:tcW w:w="6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8078" w:type="dxa"/>
            <w:gridSpan w:val="2"/>
            <w:tcBorders/>
          </w:tcPr>
          <w:p>
            <w:pPr>
              <w:pStyle w:val="Normal"/>
              <w:ind w:firstLine="425" w:start="787"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בפני 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כמאל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סעב</w:t>
            </w:r>
            <w:r>
              <w:rPr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715" w:type="dxa"/>
            <w:tcBorders/>
          </w:tcPr>
          <w:p>
            <w:pPr>
              <w:pStyle w:val="Normal"/>
              <w:tabs>
                <w:tab w:val="clear" w:pos="720"/>
                <w:tab w:val="left" w:pos="4330" w:leader="none"/>
              </w:tabs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67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363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64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07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71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פרחאת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7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36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1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16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2</w:t>
      </w:r>
      <w:r>
        <w:rPr>
          <w:b/>
          <w:bCs/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04/02/15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tl w:val="true"/>
        </w:rPr>
        <w:t xml:space="preserve">"),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המכלול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סאמר</w:t>
      </w:r>
      <w:r>
        <w:rPr>
          <w:rtl w:val="true"/>
        </w:rPr>
        <w:t>")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בסאם</w:t>
      </w:r>
      <w:r>
        <w:rPr>
          <w:rtl w:val="true"/>
        </w:rPr>
        <w:t>")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>")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tl w:val="true"/>
        </w:rPr>
        <w:t>")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הנוסף</w:t>
      </w:r>
      <w:r>
        <w:rPr>
          <w:rtl w:val="true"/>
        </w:rPr>
        <w:t xml:space="preserve">"),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04/02/15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לסאמר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4/2/15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כשאמצעי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מוחזקים</w:t>
      </w:r>
      <w:r>
        <w:rPr>
          <w:rtl w:val="true"/>
        </w:rPr>
        <w:t xml:space="preserve">, </w:t>
      </w:r>
      <w:r>
        <w:rPr>
          <w:rtl w:val="true"/>
        </w:rPr>
        <w:t>נישאים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השברולט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באסל</w:t>
      </w:r>
      <w:r>
        <w:rPr>
          <w:rtl w:val="true"/>
        </w:rPr>
        <w:t>")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,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,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ולמחמוד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21,800</w:t>
      </w:r>
      <w:r>
        <w:rPr>
          <w:rtl w:val="true"/>
        </w:rPr>
        <w:t xml:space="preserve"> ₪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העסקה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לבסאם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לסאמר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4/2/15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21:45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הקלצקניקוב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</w:t>
      </w:r>
      <w:r>
        <w:rPr>
          <w:rtl w:val="true"/>
        </w:rPr>
        <w:t xml:space="preserve">,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21:19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15.11.15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21,</w:t>
      </w:r>
      <w:r>
        <w:rPr/>
        <w:t>8</w:t>
      </w:r>
      <w:r>
        <w:rPr/>
        <w:t>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2,920</w:t>
      </w:r>
      <w:r>
        <w:rPr>
          <w:rtl w:val="true"/>
        </w:rPr>
        <w:t xml:space="preserve"> ₪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71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שמספרם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ל</w:t>
      </w:r>
      <w:r>
        <w:rPr>
          <w:rtl w:val="true"/>
        </w:rPr>
        <w:t>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להתארס</w:t>
      </w:r>
      <w:r>
        <w:rPr>
          <w:rtl w:val="true"/>
        </w:rPr>
        <w:t xml:space="preserve">, </w:t>
      </w:r>
      <w:r>
        <w:rPr>
          <w:rtl w:val="true"/>
        </w:rPr>
        <w:t>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4/2/15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במדרג עבירות הנשק מצויה העבירה של 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יצוא וסחר בנשק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בדרג</w:t>
      </w:r>
      <w:r>
        <w:rPr>
          <w:rFonts w:ascii="Arial" w:hAnsi="Arial" w:cs="Arial"/>
          <w:rtl w:val="true"/>
        </w:rPr>
        <w:t>ה העליונה</w:t>
      </w:r>
      <w:r>
        <w:rPr>
          <w:rFonts w:ascii="Arial" w:hAnsi="Arial" w:cs="Arial"/>
          <w:rtl w:val="true"/>
        </w:rPr>
        <w:t xml:space="preserve"> מבחינת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המקסימאלי בגינה הוא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4/12/11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08" w:leader="none"/>
        </w:tabs>
        <w:overflowPunct w:val="false"/>
        <w:autoSpaceDE w:val="false"/>
        <w:spacing w:lineRule="auto" w:line="360"/>
        <w:ind w:start="720" w:end="0"/>
        <w:jc w:val="both"/>
        <w:rPr>
          <w:b/>
          <w:bCs/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נוכח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היקפן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המתרחב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המבוצעות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וסחר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בפרט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וזמינותו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המדאיגה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במחוזותינו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התעורר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הצורך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אכן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התגלגלותם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פיקוח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להוביל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להגעתם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לגורמים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ועוינים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לדעת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יעלה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בגורלם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ולאילו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תוצאות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הרסניות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יובילו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– </w:t>
      </w:r>
      <w:r>
        <w:rPr>
          <w:b/>
          <w:b/>
          <w:bCs/>
          <w:spacing w:val="10"/>
          <w:rtl w:val="true"/>
        </w:rPr>
        <w:t>בסכסוך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ברחוב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בקטטה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ניצים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פנימה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לצד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המימדים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שאליהם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הגיעו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מחייבים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לתת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וכבד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החברתי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שנפגע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פגיעות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בנפש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בהדרגה</w:t>
      </w:r>
      <w:r>
        <w:rPr>
          <w:rFonts w:cs="Arial TUR" w:ascii="Arial TUR" w:hAnsi="Arial TUR"/>
          <w:b/>
          <w:bCs/>
          <w:spacing w:val="10"/>
          <w:rtl w:val="true"/>
        </w:rPr>
        <w:t>".</w:t>
      </w:r>
    </w:p>
    <w:p>
      <w:pPr>
        <w:pStyle w:val="Normal"/>
        <w:tabs>
          <w:tab w:val="clear" w:pos="720"/>
          <w:tab w:val="left" w:pos="708" w:leader="none"/>
        </w:tabs>
        <w:overflowPunct w:val="false"/>
        <w:autoSpaceDE w:val="false"/>
        <w:spacing w:lineRule="auto" w:line="360"/>
        <w:ind w:start="720" w:end="0"/>
        <w:jc w:val="both"/>
        <w:rPr>
          <w:b/>
          <w:bCs/>
          <w:spacing w:val="10"/>
        </w:rPr>
      </w:pPr>
      <w:r>
        <w:rPr>
          <w:b/>
          <w:bCs/>
          <w:spacing w:val="10"/>
          <w:rtl w:val="true"/>
        </w:rPr>
      </w:r>
    </w:p>
    <w:p>
      <w:pPr>
        <w:pStyle w:val="Normal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חסן נדחה ערעור על חומרת העונש של שני המערערים שנדונו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לאחר שהורשעו בעבירות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רימון הלם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וכן בעבירה של החזקה וסחר בסם מסוכן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שיוחס ל</w:t>
      </w:r>
      <w:r>
        <w:rPr>
          <w:rFonts w:ascii="Arial" w:hAnsi="Arial" w:cs="Arial"/>
          <w:rtl w:val="true"/>
        </w:rPr>
        <w:t xml:space="preserve">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  <w:tab/>
      </w:r>
    </w:p>
    <w:p>
      <w:pPr>
        <w:pStyle w:val="Normal"/>
        <w:spacing w:lineRule="auto" w:line="360" w:before="0" w:after="80"/>
        <w:ind w:hanging="579" w:start="708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 xml:space="preserve">מכל אלה </w:t>
      </w:r>
      <w:r>
        <w:rPr>
          <w:rFonts w:ascii="Arial TUR" w:hAnsi="Arial TUR" w:cs="Arial TUR"/>
          <w:spacing w:val="10"/>
          <w:rtl w:val="true"/>
        </w:rPr>
        <w:t>–</w:t>
      </w:r>
      <w:r>
        <w:rPr>
          <w:rFonts w:ascii="Arial TUR" w:hAnsi="Arial TUR" w:cs="Arial TUR"/>
          <w:spacing w:val="10"/>
          <w:rtl w:val="true"/>
        </w:rPr>
        <w:t xml:space="preserve"> </w:t>
      </w:r>
      <w:r>
        <w:rPr>
          <w:spacing w:val="10"/>
          <w:rtl w:val="true"/>
        </w:rPr>
        <w:t>ראו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לעניין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Times New Roman"/>
          <w:spacing w:val="10"/>
          <w:rtl w:val="true"/>
        </w:rPr>
        <w:t xml:space="preserve"> </w:t>
      </w:r>
      <w:hyperlink r:id="rId25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1332/04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פס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פ</w:t>
      </w:r>
      <w:r>
        <w:rPr>
          <w:rFonts w:cs="Arial TUR" w:ascii="Arial TUR" w:hAnsi="Arial TUR"/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נח</w:t>
      </w:r>
      <w:r>
        <w:rPr>
          <w:spacing w:val="10"/>
          <w:rtl w:val="true"/>
        </w:rPr>
        <w:t>(</w:t>
      </w:r>
      <w:r>
        <w:rPr>
          <w:spacing w:val="10"/>
        </w:rPr>
        <w:t>5</w:t>
      </w:r>
      <w:r>
        <w:rPr>
          <w:spacing w:val="10"/>
          <w:rtl w:val="true"/>
        </w:rPr>
        <w:t xml:space="preserve">) </w:t>
      </w:r>
      <w:r>
        <w:rPr>
          <w:spacing w:val="10"/>
        </w:rPr>
        <w:t>541</w:t>
      </w:r>
      <w:r>
        <w:rPr>
          <w:spacing w:val="10"/>
          <w:rtl w:val="true"/>
        </w:rPr>
        <w:t>,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בעמ</w:t>
      </w:r>
      <w:r>
        <w:rPr>
          <w:spacing w:val="10"/>
          <w:rtl w:val="true"/>
        </w:rPr>
        <w:t>'</w:t>
      </w:r>
      <w:r>
        <w:rPr>
          <w:spacing w:val="10"/>
          <w:rtl w:val="true"/>
        </w:rPr>
        <w:t xml:space="preserve"> </w:t>
      </w:r>
      <w:r>
        <w:rPr>
          <w:spacing w:val="10"/>
        </w:rPr>
        <w:t>544</w:t>
      </w:r>
      <w:r>
        <w:rPr>
          <w:spacing w:val="10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567" w:end="0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08" w:start="708" w:end="0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</w:rPr>
        <w:t>41</w:t>
      </w:r>
      <w:r>
        <w:rPr>
          <w:rFonts w:cs="Arial TUR" w:ascii="Arial TUR" w:hAnsi="Arial TUR"/>
          <w:spacing w:val="10"/>
          <w:rtl w:val="true"/>
        </w:rPr>
        <w:t>.</w:t>
        <w:tab/>
      </w:r>
      <w:r>
        <w:rPr>
          <w:rFonts w:ascii="Arial TUR" w:hAnsi="Arial TUR" w:cs="Arial TUR"/>
          <w:spacing w:val="10"/>
          <w:rtl w:val="true"/>
        </w:rPr>
        <w:t>בענייננו המדובר ברובה סער מסוג קלצ</w:t>
      </w:r>
      <w:r>
        <w:rPr>
          <w:rFonts w:cs="Arial TUR" w:ascii="Arial TUR" w:hAnsi="Arial TUR"/>
          <w:spacing w:val="10"/>
          <w:rtl w:val="true"/>
        </w:rPr>
        <w:t>'</w:t>
      </w:r>
      <w:r>
        <w:rPr>
          <w:rFonts w:ascii="Arial TUR" w:hAnsi="Arial TUR" w:cs="Arial TUR"/>
          <w:spacing w:val="10"/>
          <w:rtl w:val="true"/>
        </w:rPr>
        <w:t>ניקוב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המכלול של רובה סער מסוג קלצ</w:t>
      </w:r>
      <w:r>
        <w:rPr>
          <w:rFonts w:cs="Arial TUR" w:ascii="Arial TUR" w:hAnsi="Arial TUR"/>
          <w:spacing w:val="10"/>
          <w:rtl w:val="true"/>
        </w:rPr>
        <w:t>'</w:t>
      </w:r>
      <w:r>
        <w:rPr>
          <w:rFonts w:ascii="Arial TUR" w:hAnsi="Arial TUR" w:cs="Arial TUR"/>
          <w:spacing w:val="10"/>
          <w:rtl w:val="true"/>
        </w:rPr>
        <w:t>ניקוב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מחסניות ואביזרי נשק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כמפורט בעובדות כתב האישום המתוקן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נשק שנעשה בו שימוש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גם כן</w:t>
      </w:r>
      <w:r>
        <w:rPr>
          <w:rFonts w:cs="Arial TUR" w:ascii="Arial TUR" w:hAnsi="Arial TUR"/>
          <w:spacing w:val="10"/>
          <w:rtl w:val="true"/>
        </w:rPr>
        <w:t>;</w:t>
      </w:r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 xml:space="preserve">דברים אלה מהווים </w:t>
      </w:r>
      <w:r>
        <w:rPr>
          <w:spacing w:val="10"/>
          <w:rtl w:val="true"/>
        </w:rPr>
        <w:t>נסיבות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הקשורות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בביצוע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העבירה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ascii="Arial TUR" w:hAnsi="Arial TUR" w:cs="Arial TUR"/>
          <w:spacing w:val="10"/>
          <w:rtl w:val="true"/>
        </w:rPr>
        <w:t>והם שקובעים את פוטנציאל הנזק הכרוך במעשה העבירה</w:t>
      </w:r>
      <w:r>
        <w:rPr>
          <w:rFonts w:cs="Arial TUR" w:ascii="Arial TUR" w:hAnsi="Arial TUR"/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10"/>
        </w:rPr>
      </w:pPr>
      <w:r>
        <w:rPr>
          <w:rFonts w:cs="Arial" w:ascii="Arial" w:hAnsi="Arial"/>
          <w:b/>
          <w:bCs/>
          <w:spacing w:val="10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19/1/14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נקבע כי מתחם העונש ההולם בגין עבירות רכישה והחזקה יחד עם עבירות של נשיאה והובלת 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העליון שב והדגיש את הצורך להחמיר בענישה בעבירות נשק בכלל ובעבירות של סחר בנשק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בפסקי דין שניתנו לפני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– ראו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12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יאסין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והן בפסקי דין שניתנו לאחריו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ראו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 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עניין גנאיים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יאסין 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את ערעור המדינה על קולת העונש והעמיד את עונשו של המשיב ש</w:t>
      </w:r>
      <w:r>
        <w:rPr>
          <w:rFonts w:ascii="Arial" w:hAnsi="Arial" w:cs="Arial"/>
          <w:rtl w:val="true"/>
        </w:rPr>
        <w:t>ס</w:t>
      </w:r>
      <w:r>
        <w:rPr>
          <w:rFonts w:ascii="Arial" w:hAnsi="Arial" w:cs="Arial"/>
          <w:rtl w:val="true"/>
        </w:rPr>
        <w:t xml:space="preserve">חר בנשק בשלושה אירועים  על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תחת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ואת עונשו של המשיב שסחר בנשק בשני אירועים העמיד על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תחת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בהתחשב בכך שהעלאת רף הענישה צריכה להיעשות בהדרגה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גנאיים נדחה ערעור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על חומרת עונש מאסר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 על המערער שהורשע על פי הודאתו בשתי עבירות של סחר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האחת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– תחמושת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העליון קבע כי העונש אינו חורג ממדיניות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09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2/2/14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ascii="Arial TUR" w:hAnsi="Arial TUR" w:cs="Arial TUR"/>
          <w:spacing w:val="10"/>
          <w:rtl w:val="true"/>
        </w:rPr>
        <w:t xml:space="preserve"> על פי הודאתו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>בעבירות של החזקת נשק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 xml:space="preserve">שתי עבירות של סחר בנשק ועבירה של סיוע לסחר בנשק </w:t>
      </w:r>
      <w:r>
        <w:rPr>
          <w:rtl w:val="true"/>
        </w:rPr>
        <w:t>והוטל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0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5/12/11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24215-06-13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דוידאר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17/2/14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הורשעו שני  נאשמים על פי הודאתם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סחר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רובה ומחסנית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המחוזי הטיל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שהביא את הנשק וקיבל את מלוא התמורה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קבע מתחם עונש שנע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שנקבע כי לקח חלק פעיל בעסקת הנשק כמתווך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בתוך מתחם ענישה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שהוסכם בהסדר הטיעון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18/2/14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אישר בית משפט העליון מתח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עבירות של נשיאת נשק וסחר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ריחאני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28/5/14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המערער על פי הודאתו בעבירות של קשירת קשר לסחר בנשק ובסחר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סחר בתחמושת – מאות קליעים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המחוזי קבע מתחם ענישה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והטיל על המערער שלחובתו עבר פלילי לא מכביד</w:t>
      </w:r>
      <w:r>
        <w:rPr>
          <w:rFonts w:cs="Arial" w:ascii="Arial" w:hAnsi="Arial"/>
          <w:rtl w:val="true"/>
        </w:rPr>
        <w:t xml:space="preserve">,  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חומרת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אישר את מתחם הענישה שנקבע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משפט המחוזי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וקבע כי העונש אינו חורג ממדיניות הענישה ואינו חמ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8/6/14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וקשירת קשר לביצוע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העליון התייחס למתחם הענישה שנקבע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 בית המשפט המחוזי ואשר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בקובעו כי</w:t>
      </w:r>
      <w:r>
        <w:rPr>
          <w:rFonts w:cs="Arial" w:ascii="Arial" w:hAnsi="Arial"/>
          <w:rtl w:val="true"/>
        </w:rPr>
        <w:t>, 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Fonts w:ascii="Franklin Gothic Medium" w:hAnsi="Franklin Gothic Medium" w:cs="Franklin Gothic Medium"/>
          <w:rtl w:val="true"/>
        </w:rPr>
        <w:t>במסגרת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קביעת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יש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להביא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בחשבון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הסיכון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הרב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לציבור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ובפרט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והצורך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בהחמרה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בענישה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אלו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וכן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יש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להתחשב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בנסיבות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הקשורות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בביצוע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העבירות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ובענייננו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רובה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מסוג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קלצ</w:t>
      </w:r>
      <w:r>
        <w:rPr>
          <w:rFonts w:cs="Franklin Gothic Medium" w:ascii="Franklin Gothic Medium" w:hAnsi="Franklin Gothic Medium"/>
          <w:rtl w:val="true"/>
        </w:rPr>
        <w:t>'</w:t>
      </w:r>
      <w:r>
        <w:rPr>
          <w:rFonts w:ascii="Franklin Gothic Medium" w:hAnsi="Franklin Gothic Medium" w:cs="Franklin Gothic Medium"/>
          <w:rtl w:val="true"/>
        </w:rPr>
        <w:t>ניקוב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מחסניות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ואביזרי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ואת</w:t>
      </w:r>
      <w:r>
        <w:rPr>
          <w:rFonts w:ascii="Arial" w:hAnsi="Arial" w:cs="Arial"/>
          <w:rtl w:val="true"/>
        </w:rPr>
        <w:t xml:space="preserve"> העובדה כי חלקו של הנאשם היה </w:t>
      </w:r>
      <w:r>
        <w:rPr>
          <w:rFonts w:ascii="Arial" w:hAnsi="Arial" w:cs="Arial"/>
          <w:rtl w:val="true"/>
        </w:rPr>
        <w:t>גדול</w:t>
      </w:r>
      <w:r>
        <w:rPr>
          <w:rFonts w:ascii="Arial" w:hAnsi="Arial" w:cs="Arial"/>
          <w:rtl w:val="true"/>
        </w:rPr>
        <w:t xml:space="preserve"> ודומיננטי </w:t>
      </w:r>
      <w:r>
        <w:rPr>
          <w:rFonts w:ascii="Arial" w:hAnsi="Arial" w:cs="Arial"/>
          <w:rtl w:val="true"/>
        </w:rPr>
        <w:t xml:space="preserve">יותר </w:t>
      </w:r>
      <w:r>
        <w:rPr>
          <w:rFonts w:ascii="Arial" w:hAnsi="Arial" w:cs="Arial"/>
          <w:rtl w:val="true"/>
        </w:rPr>
        <w:t>מזה של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 הוא זה שנשא והוביל ברכבו את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אמצעי הלחימה ו</w:t>
      </w:r>
      <w:r>
        <w:rPr>
          <w:rFonts w:ascii="Arial" w:hAnsi="Arial" w:cs="Arial"/>
          <w:rtl w:val="true"/>
        </w:rPr>
        <w:t>אבזרי הנשק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מכרם לאחרים וקיבל 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ביצע ניסוי ירי</w:t>
      </w:r>
      <w:r>
        <w:rPr>
          <w:rFonts w:ascii="Arial" w:hAnsi="Arial" w:cs="Arial"/>
          <w:rtl w:val="true"/>
        </w:rPr>
        <w:t xml:space="preserve"> בזירת ניסוי הירי הסמוכה לאזור מגורים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709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סבורני כי מתחם העונש ההולם בענייננו 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8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433/89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ורג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מידת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eastAsia="Arial Unicode MS"/>
          <w:lang w:eastAsia="he-IL"/>
        </w:rPr>
      </w:pPr>
      <w:r>
        <w:rPr>
          <w:rFonts w:eastAsia="Arial Unicode MS"/>
          <w:rtl w:val="true"/>
          <w:lang w:eastAsia="he-IL"/>
        </w:rPr>
        <w:t>לכן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יש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לבחון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כל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מקרה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ונסיבותיו</w:t>
      </w:r>
      <w:r>
        <w:rPr>
          <w:rFonts w:eastAsia="Arial Unicode MS"/>
          <w:rtl w:val="true"/>
          <w:lang w:eastAsia="he-IL"/>
        </w:rPr>
        <w:t xml:space="preserve">, </w:t>
      </w:r>
      <w:r>
        <w:rPr>
          <w:rFonts w:eastAsia="Arial Unicode MS"/>
          <w:rtl w:val="true"/>
          <w:lang w:eastAsia="he-IL"/>
        </w:rPr>
        <w:t>לרבות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הנסיבות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האישיות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שעומד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לדין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בפני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בית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המשפט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 xml:space="preserve">-  </w:t>
      </w:r>
      <w:r>
        <w:rPr>
          <w:rFonts w:eastAsia="Arial Unicode MS"/>
          <w:rtl w:val="true"/>
          <w:lang w:eastAsia="he-IL"/>
        </w:rPr>
        <w:t>ראו</w:t>
      </w:r>
      <w:r>
        <w:rPr>
          <w:rFonts w:eastAsia="Times New Roman" w:cs="Times New Roman"/>
          <w:rtl w:val="true"/>
          <w:lang w:eastAsia="he-IL"/>
        </w:rPr>
        <w:t xml:space="preserve"> </w:t>
      </w:r>
      <w:hyperlink r:id="rId37">
        <w:r>
          <w:rPr>
            <w:rStyle w:val="Hyperlink"/>
            <w:rFonts w:eastAsia="Arial Unicode MS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Arial Unicode MS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eastAsia="Arial Unicode MS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Arial Unicode MS"/>
            <w:color w:val="0000FF"/>
            <w:u w:val="single"/>
            <w:lang w:eastAsia="he-IL"/>
          </w:rPr>
          <w:t>3210/06</w:t>
        </w:r>
      </w:hyperlink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b/>
          <w:b/>
          <w:bCs/>
          <w:rtl w:val="true"/>
          <w:lang w:eastAsia="he-IL"/>
        </w:rPr>
        <w:t>עמארה</w:t>
      </w:r>
      <w:r>
        <w:rPr>
          <w:rFonts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eastAsia="Arial Unicode MS"/>
          <w:b/>
          <w:b/>
          <w:bCs/>
          <w:rtl w:val="true"/>
          <w:lang w:eastAsia="he-IL"/>
        </w:rPr>
        <w:t>נ</w:t>
      </w:r>
      <w:r>
        <w:rPr>
          <w:rFonts w:eastAsia="Arial Unicode MS"/>
          <w:b/>
          <w:bCs/>
          <w:rtl w:val="true"/>
          <w:lang w:eastAsia="he-IL"/>
        </w:rPr>
        <w:t xml:space="preserve">' </w:t>
      </w:r>
      <w:r>
        <w:rPr>
          <w:rFonts w:eastAsia="Arial Unicode MS"/>
          <w:b/>
          <w:b/>
          <w:bCs/>
          <w:rtl w:val="true"/>
          <w:lang w:eastAsia="he-IL"/>
        </w:rPr>
        <w:t>מדינת</w:t>
      </w:r>
      <w:r>
        <w:rPr>
          <w:rFonts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eastAsia="Arial Unicode MS"/>
          <w:b/>
          <w:b/>
          <w:bCs/>
          <w:rtl w:val="true"/>
          <w:lang w:eastAsia="he-IL"/>
        </w:rPr>
        <w:t>ישראל</w:t>
      </w:r>
      <w:r>
        <w:rPr>
          <w:rFonts w:eastAsia="Arial Unicode MS"/>
          <w:rtl w:val="true"/>
          <w:lang w:eastAsia="he-IL"/>
        </w:rPr>
        <w:t>, (</w:t>
      </w:r>
      <w:r>
        <w:rPr>
          <w:rFonts w:eastAsia="Arial Unicode MS"/>
          <w:rtl w:val="true"/>
          <w:lang w:eastAsia="he-IL"/>
        </w:rPr>
        <w:t>ניתן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ביום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lang w:eastAsia="he-IL"/>
        </w:rPr>
        <w:t>18</w:t>
      </w:r>
      <w:r>
        <w:rPr>
          <w:rFonts w:eastAsia="Arial Unicode MS"/>
          <w:lang w:eastAsia="he-IL"/>
        </w:rPr>
        <w:t>/</w:t>
      </w:r>
      <w:r>
        <w:rPr>
          <w:rFonts w:eastAsia="Arial Unicode MS"/>
          <w:lang w:eastAsia="he-IL"/>
        </w:rPr>
        <w:t>03</w:t>
      </w:r>
      <w:r>
        <w:rPr>
          <w:rFonts w:eastAsia="Arial Unicode MS"/>
          <w:lang w:eastAsia="he-IL"/>
        </w:rPr>
        <w:t>/</w:t>
      </w:r>
      <w:r>
        <w:rPr>
          <w:rFonts w:eastAsia="Arial Unicode MS"/>
          <w:lang w:eastAsia="he-IL"/>
        </w:rPr>
        <w:t>07</w:t>
      </w:r>
      <w:r>
        <w:rPr>
          <w:rFonts w:eastAsia="Arial Unicode MS"/>
          <w:rtl w:val="true"/>
          <w:lang w:eastAsia="he-IL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rFonts w:eastAsia="Arial Unicode MS"/>
          <w:b/>
          <w:bCs/>
          <w:lang w:eastAsia="he-IL"/>
        </w:rPr>
      </w:pPr>
      <w:r>
        <w:rPr>
          <w:rFonts w:eastAsia="Arial Unicode MS"/>
          <w:b/>
          <w:bCs/>
          <w:rtl w:val="true"/>
          <w:lang w:eastAsia="he-IL"/>
        </w:rPr>
      </w:r>
    </w:p>
    <w:p>
      <w:pPr>
        <w:pStyle w:val="Normal"/>
        <w:tabs>
          <w:tab w:val="clear" w:pos="720"/>
          <w:tab w:val="left" w:pos="708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05" w:start="705" w:end="0"/>
        <w:jc w:val="both"/>
        <w:rPr/>
      </w:pPr>
      <w:r>
        <w:rPr/>
        <w:t>51</w:t>
      </w:r>
      <w:r>
        <w:rPr>
          <w:rtl w:val="true"/>
        </w:rPr>
        <w:t>.</w:t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>.</w:t>
        <w:tab/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04/02/15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144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מוסדרת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9/3/05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הפעלתה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59297-11-12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8/9/13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3.7.15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autoSpaceDE w:val="false"/>
        <w:spacing w:before="100" w:after="10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הזיקה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4148/92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22.9.1994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 xml:space="preserve">) 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מכוניתו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2963/13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10.2.2014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קווליר</w:t>
      </w:r>
      <w:r>
        <w:rPr>
          <w:rtl w:val="true"/>
        </w:rPr>
        <w:t xml:space="preserve">",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/>
        <w:t>67-358-17</w:t>
      </w:r>
      <w:r>
        <w:rPr>
          <w:rtl w:val="true"/>
        </w:rPr>
        <w:t xml:space="preserve">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21,800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2,920</w:t>
      </w:r>
      <w:r>
        <w:rPr>
          <w:rtl w:val="true"/>
        </w:rPr>
        <w:t xml:space="preserve"> ₪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עדי </w:t>
      </w:r>
      <w:r>
        <w:rPr>
          <w:rFonts w:ascii="Arial" w:hAnsi="Arial" w:cs="Arial"/>
          <w:rtl w:val="true"/>
        </w:rPr>
        <w:t>אבו עביד ובא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אמיר אליאל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52101-02-15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פרחאת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"/>
        <w:b w:val="false"/>
        <w:szCs w:val="24"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4918" TargetMode="External"/><Relationship Id="rId10" Type="http://schemas.openxmlformats.org/officeDocument/2006/relationships/hyperlink" Target="http://www.nevo.co.il/law/74918/39.a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9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703734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5762686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99080" TargetMode="External"/><Relationship Id="rId29" Type="http://schemas.openxmlformats.org/officeDocument/2006/relationships/hyperlink" Target="http://www.nevo.co.il/case/13023134" TargetMode="External"/><Relationship Id="rId30" Type="http://schemas.openxmlformats.org/officeDocument/2006/relationships/hyperlink" Target="http://www.nevo.co.il/case/6882160" TargetMode="External"/><Relationship Id="rId31" Type="http://schemas.openxmlformats.org/officeDocument/2006/relationships/hyperlink" Target="http://www.nevo.co.il/case/5692319" TargetMode="External"/><Relationship Id="rId32" Type="http://schemas.openxmlformats.org/officeDocument/2006/relationships/hyperlink" Target="http://www.nevo.co.il/case/7827259" TargetMode="External"/><Relationship Id="rId33" Type="http://schemas.openxmlformats.org/officeDocument/2006/relationships/hyperlink" Target="http://www.nevo.co.il/case/11309005" TargetMode="External"/><Relationship Id="rId34" Type="http://schemas.openxmlformats.org/officeDocument/2006/relationships/hyperlink" Target="http://www.nevo.co.il/case/10442297" TargetMode="External"/><Relationship Id="rId35" Type="http://schemas.openxmlformats.org/officeDocument/2006/relationships/hyperlink" Target="http://www.nevo.co.il/case/7791489" TargetMode="External"/><Relationship Id="rId36" Type="http://schemas.openxmlformats.org/officeDocument/2006/relationships/hyperlink" Target="http://www.nevo.co.il/case/17941073" TargetMode="External"/><Relationship Id="rId37" Type="http://schemas.openxmlformats.org/officeDocument/2006/relationships/hyperlink" Target="http://www.nevo.co.il/case/5882592" TargetMode="External"/><Relationship Id="rId38" Type="http://schemas.openxmlformats.org/officeDocument/2006/relationships/hyperlink" Target="http://www.nevo.co.il/law/74918/39.a" TargetMode="External"/><Relationship Id="rId39" Type="http://schemas.openxmlformats.org/officeDocument/2006/relationships/hyperlink" Target="http://www.nevo.co.il/law/74918" TargetMode="External"/><Relationship Id="rId40" Type="http://schemas.openxmlformats.org/officeDocument/2006/relationships/hyperlink" Target="http://www.nevo.co.il/case/6055128" TargetMode="External"/><Relationship Id="rId41" Type="http://schemas.openxmlformats.org/officeDocument/2006/relationships/hyperlink" Target="http://www.nevo.co.il/case/4074962" TargetMode="External"/><Relationship Id="rId42" Type="http://schemas.openxmlformats.org/officeDocument/2006/relationships/hyperlink" Target="http://www.nevo.co.il/case/20138359" TargetMode="External"/><Relationship Id="rId43" Type="http://schemas.openxmlformats.org/officeDocument/2006/relationships/hyperlink" Target="http://www.nevo.co.il/case/17922225" TargetMode="External"/><Relationship Id="rId44" Type="http://schemas.openxmlformats.org/officeDocument/2006/relationships/hyperlink" Target="http://www.nevo.co.il/case/11312605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2016-06-19T08:05:00Z</dcterms:created>
  <dc:creator> </dc:creator>
  <dc:description/>
  <cp:keywords/>
  <dc:language>en-IL</dc:language>
  <cp:lastModifiedBy>run</cp:lastModifiedBy>
  <dcterms:modified xsi:type="dcterms:W3CDTF">2016-06-19T08:05:00Z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פרחאת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5703734;5821327;6473037;5762686;7791493;5699080;13023134;6882160;5692319;7827259;11309005;10442297;7791489;17941073;5882592;6055128;4074962;20138359;17922225;11312605</vt:lpwstr>
  </property>
  <property fmtid="{D5CDD505-2E9C-101B-9397-08002B2CF9AE}" pid="9" name="CITY">
    <vt:lpwstr>חי'</vt:lpwstr>
  </property>
  <property fmtid="{D5CDD505-2E9C-101B-9397-08002B2CF9AE}" pid="10" name="DATE">
    <vt:lpwstr>20151221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70301/144.b2:2;144.c:2;029:2;144.b;029.b;499.a.1</vt:lpwstr>
  </property>
  <property fmtid="{D5CDD505-2E9C-101B-9397-08002B2CF9AE}" pid="15" name="LAWLISTTMP2">
    <vt:lpwstr>74918/039.a</vt:lpwstr>
  </property>
  <property fmtid="{D5CDD505-2E9C-101B-9397-08002B2CF9AE}" pid="16" name="LAWYER">
    <vt:lpwstr>אמיר אליאל;בדר אלדין אגבאריה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52101</vt:lpwstr>
  </property>
  <property fmtid="{D5CDD505-2E9C-101B-9397-08002B2CF9AE}" pid="23" name="NEWPARTB">
    <vt:lpwstr>02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390020151221</vt:lpwstr>
  </property>
  <property fmtid="{D5CDD505-2E9C-101B-9397-08002B2CF9AE}" pid="35" name="TYPE_N_DATE">
    <vt:lpwstr>39020151221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