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452"/>
        <w:gridCol w:w="600"/>
        <w:gridCol w:w="166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645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52174-12-10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0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668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צבי  סגל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עדן כהן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פרץ נפתלייב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קרן אלטמן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 xml:space="preserve">מפרקליטות מחוז ירושלים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דוד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הלוי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צבי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אבנון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  <w:bookmarkStart w:id="3" w:name="StartProtocol"/>
      <w:bookmarkStart w:id="4" w:name="StartProtocol"/>
      <w:bookmarkEnd w:id="4"/>
    </w:p>
    <w:p>
      <w:pPr>
        <w:pStyle w:val="David"/>
        <w:ind w:end="0"/>
        <w:jc w:val="both"/>
        <w:rPr>
          <w:b/>
          <w:bCs/>
          <w:sz w:val="6"/>
          <w:szCs w:val="6"/>
        </w:rPr>
      </w:pPr>
      <w:bookmarkStart w:id="5" w:name="StartProtocol"/>
      <w:bookmarkEnd w:id="5"/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כמבוקש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לדיון ליום </w:t>
      </w:r>
      <w:r>
        <w:rPr>
          <w:rFonts w:cs="David" w:ascii="David" w:hAnsi="David"/>
        </w:rPr>
        <w:t>17.7.11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בשעה </w:t>
      </w:r>
      <w:r>
        <w:rPr>
          <w:rFonts w:cs="David" w:ascii="David" w:hAnsi="David"/>
        </w:rPr>
        <w:t>10:30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יובא על ידי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ס ממקום מעצרו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 xml:space="preserve">ניתנה והודעה היום 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 סיון תשע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15/06/2011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במעמד הנוכחים</w:t>
      </w:r>
      <w:r>
        <w:rPr>
          <w:b/>
          <w:bCs/>
          <w:sz w:val="26"/>
          <w:szCs w:val="26"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center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הכרעת דין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יסוד הודאת הנאשם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אני מרשיע אותו בעבירה של סחר בנשק לפי </w:t>
      </w:r>
      <w:hyperlink r:id="rId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 העונשין</w:t>
      </w:r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 xml:space="preserve">ניתנה והודעה היום 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 סיון תשע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15/06/2011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במעמד הנוכחים</w:t>
      </w:r>
      <w:r>
        <w:rPr>
          <w:b/>
          <w:bCs/>
          <w:sz w:val="26"/>
          <w:szCs w:val="26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24-03-2011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52174-12-10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המחלקה לחקירת שוטרים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עדן כהן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קרן אלטמן ממח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דוד הלוי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וו דוד הלוי הסנגוריה הציבורית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12-09-2011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52174-12-10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עדן כהן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אמנון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דני בר דוד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סנ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צ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>רונן יצחק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וו דוד הלוי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21-12-2011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9457/11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עדן כהן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דוד הלוי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inks_Start"/>
      <w:bookmarkStart w:id="7" w:name="Links_Start"/>
      <w:bookmarkEnd w:id="7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24-03-2011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52174-12-10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המחלקה לחקירת שוטרים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עדן כהן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צבי סגל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קרן אלטמן ממח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דוד הלוי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וו דוד הלוי הסנגוריה הציבורית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12-09-2011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52174-12-10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עדן כהן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אמנון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דני בר דוד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סנ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צ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>רונן יצחק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וו דוד הלוי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21-12-2011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9457/11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עדן כהן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דוד הלוי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28-12-2011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9457/11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עדן כהן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דוד הלוי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ארז בן ארויה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inks_End"/>
      <w:bookmarkStart w:id="9" w:name="Links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  <w:bookmarkStart w:id="14" w:name="Links_Start"/>
      <w:bookmarkStart w:id="15" w:name="Links_Start"/>
      <w:bookmarkEnd w:id="15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6" w:name="PsakDin"/>
      <w:bookmarkEnd w:id="1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דין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לנאשם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spacing w:lineRule="auto" w:line="360"/>
        <w:ind w:end="0"/>
        <w:jc w:val="both"/>
        <w:rPr/>
      </w:pPr>
      <w:bookmarkStart w:id="19" w:name="ABSTRACT_START"/>
      <w:bookmarkEnd w:id="19"/>
      <w:r>
        <w:rPr>
          <w:rtl w:val="true"/>
        </w:rPr>
        <w:t xml:space="preserve">בגדר הסדר טיעון הודה הנאשם בעובדות כתב האישום המתוקן והורשע עקב כך בעבירה של סחר בנשק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 העונשין</w:t>
      </w:r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20" w:name="ABSTRACT_END"/>
      <w:bookmarkStart w:id="21" w:name="ABSTRACT_END"/>
      <w:bookmarkEnd w:id="2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העובדות בהן הודה בגדר כתב האישום המתוקן הינן</w:t>
      </w:r>
      <w:r>
        <w:rPr>
          <w:rtl w:val="true"/>
        </w:rPr>
        <w:t xml:space="preserve">, </w:t>
      </w:r>
      <w:r>
        <w:rPr>
          <w:rtl w:val="true"/>
        </w:rPr>
        <w:t>שבמספר מועדים שאינם ידועים למאשימה</w:t>
      </w:r>
      <w:r>
        <w:rPr>
          <w:rtl w:val="true"/>
        </w:rPr>
        <w:t xml:space="preserve">, </w:t>
      </w:r>
      <w:r>
        <w:rPr>
          <w:rtl w:val="true"/>
        </w:rPr>
        <w:t>הוא קנה מאחר</w:t>
      </w:r>
      <w:r>
        <w:rPr>
          <w:rtl w:val="true"/>
        </w:rPr>
        <w:t xml:space="preserve">, </w:t>
      </w:r>
      <w:r>
        <w:rPr>
          <w:rtl w:val="true"/>
        </w:rPr>
        <w:t>שוטר 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כמות בלתי ידועה של רימוני הלם</w:t>
      </w:r>
      <w:r>
        <w:rPr>
          <w:rtl w:val="true"/>
        </w:rPr>
        <w:t xml:space="preserve">, </w:t>
      </w:r>
      <w:r>
        <w:rPr>
          <w:rtl w:val="true"/>
        </w:rPr>
        <w:t>תמורת סכום שלא ידוע במדויק למאשימה</w:t>
      </w:r>
      <w:r>
        <w:rPr>
          <w:rtl w:val="true"/>
        </w:rPr>
        <w:t xml:space="preserve">. </w:t>
      </w:r>
      <w:r>
        <w:rPr>
          <w:rtl w:val="true"/>
        </w:rPr>
        <w:t>גם היום</w:t>
      </w:r>
      <w:r>
        <w:rPr>
          <w:rtl w:val="true"/>
        </w:rPr>
        <w:t xml:space="preserve">, </w:t>
      </w:r>
      <w:r>
        <w:rPr>
          <w:rtl w:val="true"/>
        </w:rPr>
        <w:t>בשלב הטיעונים לעונש</w:t>
      </w:r>
      <w:r>
        <w:rPr>
          <w:rtl w:val="true"/>
        </w:rPr>
        <w:t xml:space="preserve">, </w:t>
      </w:r>
      <w:r>
        <w:rPr>
          <w:rtl w:val="true"/>
        </w:rPr>
        <w:t>לא התקבל מידע מפי הנאשם על הסכום ששילם ועל מספרם המדויק של רימוני ההלם אותם רכש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בגדר ההסדר האמור</w:t>
      </w:r>
      <w:r>
        <w:rPr>
          <w:rtl w:val="true"/>
        </w:rPr>
        <w:t xml:space="preserve">, </w:t>
      </w:r>
      <w:r>
        <w:rPr>
          <w:rtl w:val="true"/>
        </w:rPr>
        <w:t>הוסכם על הצדדים</w:t>
      </w:r>
      <w:r>
        <w:rPr>
          <w:rtl w:val="true"/>
        </w:rPr>
        <w:t xml:space="preserve">, </w:t>
      </w:r>
      <w:r>
        <w:rPr>
          <w:rtl w:val="true"/>
        </w:rPr>
        <w:t>כי המאשימה תגביל עצמה למאסר בפועל לתקופה שלא תעלה על שנתיים</w:t>
      </w:r>
      <w:r>
        <w:rPr>
          <w:rtl w:val="true"/>
        </w:rPr>
        <w:t xml:space="preserve">, </w:t>
      </w:r>
      <w:r>
        <w:rPr>
          <w:rtl w:val="true"/>
        </w:rPr>
        <w:t>ואילו הסניגור המלומד יהיה חופשי בטיעוניו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הצדדים טענו</w:t>
      </w:r>
      <w:r>
        <w:rPr>
          <w:rtl w:val="true"/>
        </w:rPr>
        <w:t xml:space="preserve">, </w:t>
      </w:r>
      <w:r>
        <w:rPr>
          <w:rtl w:val="true"/>
        </w:rPr>
        <w:t>מזה ומזה</w:t>
      </w:r>
      <w:r>
        <w:rPr>
          <w:rtl w:val="true"/>
        </w:rPr>
        <w:t xml:space="preserve">, </w:t>
      </w:r>
      <w:r>
        <w:rPr>
          <w:rtl w:val="true"/>
        </w:rPr>
        <w:t>והציגו לבית המשפט אסמכתאות התומכות בטיעוניהם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עתרה להשית על הנאשם את העונש העומד על הרף העליון של ההסדר</w:t>
      </w:r>
      <w:r>
        <w:rPr>
          <w:rtl w:val="true"/>
        </w:rPr>
        <w:t xml:space="preserve">, </w:t>
      </w:r>
      <w:r>
        <w:rPr>
          <w:rtl w:val="true"/>
        </w:rPr>
        <w:t>ואילו ב</w:t>
      </w:r>
      <w:r>
        <w:rPr>
          <w:rtl w:val="true"/>
        </w:rPr>
        <w:t>"</w:t>
      </w:r>
      <w:r>
        <w:rPr>
          <w:rtl w:val="true"/>
        </w:rPr>
        <w:t xml:space="preserve">כ הנאשם עתר להסתפקות בתקופת המעצר בה שוהה הנאשם עד כה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14.12.10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עצמו הביע חרטה מלאה על מעשיו</w:t>
      </w:r>
      <w:r>
        <w:rPr>
          <w:rtl w:val="true"/>
        </w:rPr>
        <w:t xml:space="preserve">, </w:t>
      </w:r>
      <w:r>
        <w:rPr>
          <w:rtl w:val="true"/>
        </w:rPr>
        <w:t>עתר לבית המשפט להקל בדינו</w:t>
      </w:r>
      <w:r>
        <w:rPr>
          <w:rtl w:val="true"/>
        </w:rPr>
        <w:t xml:space="preserve">, </w:t>
      </w:r>
      <w:r>
        <w:rPr>
          <w:rtl w:val="true"/>
        </w:rPr>
        <w:t xml:space="preserve">תוך ציון העובדה כי לאחרונה נולדו לו תאומות שהן היום בנות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לנאשם עבר פלילי מכביד במגוון עבירות </w:t>
      </w:r>
      <w:r>
        <w:rPr>
          <w:rtl w:val="true"/>
        </w:rPr>
        <w:t>(</w:t>
      </w:r>
      <w:r>
        <w:rPr>
          <w:rtl w:val="true"/>
        </w:rPr>
        <w:t>אך לא עבירות בנשק</w:t>
      </w:r>
      <w:r>
        <w:rPr>
          <w:rtl w:val="true"/>
        </w:rPr>
        <w:t xml:space="preserve">), </w:t>
      </w:r>
      <w:r>
        <w:rPr>
          <w:rtl w:val="true"/>
        </w:rPr>
        <w:t>בגינן ריצה בעבר תקופות מאסר ממושכות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חולק בין הצדדים</w:t>
      </w:r>
      <w:r>
        <w:rPr>
          <w:rtl w:val="true"/>
        </w:rPr>
        <w:t xml:space="preserve">, </w:t>
      </w:r>
      <w:r>
        <w:rPr>
          <w:rtl w:val="true"/>
        </w:rPr>
        <w:t>כי על אף הרשעתו בעבירה של סחר בנשק</w:t>
      </w:r>
      <w:r>
        <w:rPr>
          <w:rtl w:val="true"/>
        </w:rPr>
        <w:t xml:space="preserve">, </w:t>
      </w:r>
      <w:r>
        <w:rPr>
          <w:rtl w:val="true"/>
        </w:rPr>
        <w:t>אין ראייה על כך כי סחר בפועל ברימונים אותם רכש משוטר 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צורך להכביר מילים בדבר חומרת העבירה אותה עבר הנאשם</w:t>
      </w:r>
      <w:r>
        <w:rPr>
          <w:rtl w:val="true"/>
        </w:rPr>
        <w:t xml:space="preserve">.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גם אם הם רימוני הלם בלבד</w:t>
      </w:r>
      <w:r>
        <w:rPr>
          <w:rtl w:val="true"/>
        </w:rPr>
        <w:t xml:space="preserve">, </w:t>
      </w:r>
      <w:r>
        <w:rPr>
          <w:rtl w:val="true"/>
        </w:rPr>
        <w:t>הנמצאים בידיים בלתי מורשות</w:t>
      </w:r>
      <w:r>
        <w:rPr>
          <w:rtl w:val="true"/>
        </w:rPr>
        <w:t xml:space="preserve">, </w:t>
      </w:r>
      <w:r>
        <w:rPr>
          <w:rtl w:val="true"/>
        </w:rPr>
        <w:t>מהווים מקור סכנה ועלולים להמיט אסונות קשים על אנשים חפים מפשע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ובשל הצורך לשמור על בטחון ושלום הציבור</w:t>
      </w:r>
      <w:r>
        <w:rPr>
          <w:rtl w:val="true"/>
        </w:rPr>
        <w:t xml:space="preserve">, </w:t>
      </w:r>
      <w:r>
        <w:rPr>
          <w:rtl w:val="true"/>
        </w:rPr>
        <w:t>קם גם הצורך להילחם בתופעה מסוכנת זו</w:t>
      </w:r>
      <w:r>
        <w:rPr>
          <w:rtl w:val="true"/>
        </w:rPr>
        <w:t xml:space="preserve">. </w:t>
      </w:r>
      <w:r>
        <w:rPr>
          <w:rtl w:val="true"/>
        </w:rPr>
        <w:t>חשוב ביותר שתחדור לתודעת הנאשם דנן</w:t>
      </w:r>
      <w:r>
        <w:rPr>
          <w:rtl w:val="true"/>
        </w:rPr>
        <w:t xml:space="preserve">, </w:t>
      </w:r>
      <w:r>
        <w:rPr>
          <w:rtl w:val="true"/>
        </w:rPr>
        <w:t>כמו גם לנאשמים פוטנציאלים נוספים</w:t>
      </w:r>
      <w:r>
        <w:rPr>
          <w:rtl w:val="true"/>
        </w:rPr>
        <w:t xml:space="preserve">, </w:t>
      </w:r>
      <w:r>
        <w:rPr>
          <w:rtl w:val="true"/>
        </w:rPr>
        <w:t>שמי שביודעין סוחר בנשק צפוי בגין עבירה זו לעונש מכאיב</w:t>
      </w:r>
      <w:r>
        <w:rPr>
          <w:rtl w:val="true"/>
        </w:rPr>
        <w:t xml:space="preserve">, </w:t>
      </w:r>
      <w:r>
        <w:rPr>
          <w:rtl w:val="true"/>
        </w:rPr>
        <w:t>גם אם אין הוא מתכוון אישית לבצע באותו נשק פשע מסוים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נקבע לא אחת</w:t>
      </w:r>
      <w:r>
        <w:rPr>
          <w:rtl w:val="true"/>
        </w:rPr>
        <w:t xml:space="preserve">, </w:t>
      </w:r>
      <w:r>
        <w:rPr>
          <w:rtl w:val="true"/>
        </w:rPr>
        <w:t>כי את הבכורה בעבירות אלו יש להעניק לאינטרס הציבורי ולהרתעה האישית</w:t>
      </w:r>
      <w:r>
        <w:rPr>
          <w:rtl w:val="true"/>
        </w:rPr>
        <w:t xml:space="preserve">, </w:t>
      </w:r>
      <w:r>
        <w:rPr>
          <w:rtl w:val="true"/>
        </w:rPr>
        <w:t>הספציפית והפוטנציאלית</w:t>
      </w:r>
      <w:r>
        <w:rPr>
          <w:rtl w:val="true"/>
        </w:rPr>
        <w:t xml:space="preserve">, </w:t>
      </w:r>
      <w:r>
        <w:rPr>
          <w:rtl w:val="true"/>
        </w:rPr>
        <w:t>ולהעדיפה על</w:t>
      </w:r>
      <w:r>
        <w:rPr>
          <w:rtl w:val="true"/>
        </w:rPr>
        <w:t>-</w:t>
      </w:r>
      <w:r>
        <w:rPr>
          <w:rtl w:val="true"/>
        </w:rPr>
        <w:t>פני הנסיבות האישיות  של העבריין</w:t>
      </w:r>
      <w:r>
        <w:rPr>
          <w:rtl w:val="true"/>
        </w:rPr>
        <w:t xml:space="preserve">. </w:t>
      </w:r>
      <w:r>
        <w:rPr>
          <w:rtl w:val="true"/>
        </w:rPr>
        <w:t>עוד נוסיף ונציין</w:t>
      </w:r>
      <w:r>
        <w:rPr>
          <w:rtl w:val="true"/>
        </w:rPr>
        <w:t xml:space="preserve">, </w:t>
      </w:r>
      <w:r>
        <w:rPr>
          <w:rtl w:val="true"/>
        </w:rPr>
        <w:t>כי הרימונים אותם רכש הנאשם</w:t>
      </w:r>
      <w:r>
        <w:rPr>
          <w:rtl w:val="true"/>
        </w:rPr>
        <w:t xml:space="preserve">, </w:t>
      </w:r>
      <w:r>
        <w:rPr>
          <w:rtl w:val="true"/>
        </w:rPr>
        <w:t>שלא קיבלנו מפיו הסבר כלל על עצם הצורך ברכישתם</w:t>
      </w:r>
      <w:r>
        <w:rPr>
          <w:rtl w:val="true"/>
        </w:rPr>
        <w:t xml:space="preserve">, </w:t>
      </w:r>
      <w:r>
        <w:rPr>
          <w:rtl w:val="true"/>
        </w:rPr>
        <w:t>כמו גם על מיקומם העכשווי</w:t>
      </w:r>
      <w:r>
        <w:rPr>
          <w:rtl w:val="true"/>
        </w:rPr>
        <w:t xml:space="preserve">, </w:t>
      </w:r>
      <w:r>
        <w:rPr>
          <w:rtl w:val="true"/>
        </w:rPr>
        <w:t>עלולים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לעבור מיד ליד</w:t>
      </w:r>
      <w:r>
        <w:rPr>
          <w:rtl w:val="true"/>
        </w:rPr>
        <w:t xml:space="preserve">, </w:t>
      </w:r>
      <w:r>
        <w:rPr>
          <w:rtl w:val="true"/>
        </w:rPr>
        <w:t>ולשמש למטרה פלילית ואף יותר מכך</w:t>
      </w:r>
      <w:r>
        <w:rPr>
          <w:rtl w:val="true"/>
        </w:rPr>
        <w:t xml:space="preserve">. </w:t>
      </w:r>
      <w:r>
        <w:rPr>
          <w:rtl w:val="true"/>
        </w:rPr>
        <w:t>יש חשש רב כי סכנת חיים טמונה בסחר בנשק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שומה על בית המשפט להכביד את ידו כדי למנוע הישנות תופעה 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יש לציין</w:t>
      </w:r>
      <w:r>
        <w:rPr>
          <w:rtl w:val="true"/>
        </w:rPr>
        <w:t xml:space="preserve">, </w:t>
      </w:r>
      <w:r>
        <w:rPr>
          <w:rtl w:val="true"/>
        </w:rPr>
        <w:t>כי הנאשם חסך מזמנו היקר של בית המשפט</w:t>
      </w:r>
      <w:r>
        <w:rPr>
          <w:rtl w:val="true"/>
        </w:rPr>
        <w:t xml:space="preserve">, </w:t>
      </w:r>
      <w:r>
        <w:rPr>
          <w:rtl w:val="true"/>
        </w:rPr>
        <w:t>הודה במיוחס לו רק לאחר שתוקן כתב האישום</w:t>
      </w:r>
      <w:r>
        <w:rPr>
          <w:rtl w:val="true"/>
        </w:rPr>
        <w:t xml:space="preserve">, </w:t>
      </w:r>
      <w:r>
        <w:rPr>
          <w:rtl w:val="true"/>
        </w:rPr>
        <w:t>הביע חרטה מלאה על מעשיו</w:t>
      </w:r>
      <w:r>
        <w:rPr>
          <w:rtl w:val="true"/>
        </w:rPr>
        <w:t xml:space="preserve">, </w:t>
      </w:r>
      <w:r>
        <w:rPr>
          <w:rtl w:val="true"/>
        </w:rPr>
        <w:t xml:space="preserve">וכאמור </w:t>
      </w:r>
      <w:r>
        <w:rPr>
          <w:rtl w:val="true"/>
        </w:rPr>
        <w:t>–</w:t>
      </w:r>
      <w:r>
        <w:rPr>
          <w:rtl w:val="true"/>
        </w:rPr>
        <w:t xml:space="preserve"> רק לאחרונה</w:t>
      </w:r>
      <w:r>
        <w:rPr>
          <w:rtl w:val="true"/>
        </w:rPr>
        <w:t xml:space="preserve">, </w:t>
      </w:r>
      <w:r>
        <w:rPr>
          <w:rtl w:val="true"/>
        </w:rPr>
        <w:t>לפני מס</w:t>
      </w:r>
      <w:r>
        <w:rPr>
          <w:rtl w:val="true"/>
        </w:rPr>
        <w:t xml:space="preserve">'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נולדו לו תאומות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בהביאי בחשבון שיקוליי לעונש את האינטרסים המנוגדים</w:t>
      </w:r>
      <w:r>
        <w:rPr>
          <w:rtl w:val="true"/>
        </w:rPr>
        <w:t xml:space="preserve">, </w:t>
      </w:r>
      <w:r>
        <w:rPr>
          <w:rtl w:val="true"/>
        </w:rPr>
        <w:t>ובאיזון הראוי ביניהם</w:t>
      </w:r>
      <w:r>
        <w:rPr>
          <w:rtl w:val="true"/>
        </w:rPr>
        <w:t xml:space="preserve">, </w:t>
      </w:r>
      <w:r>
        <w:rPr>
          <w:rtl w:val="true"/>
        </w:rPr>
        <w:t>באתי לכלל דיעה ומסקנה כי יש לגזור על הנאשם את העונשים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החל מיום מעצרו בתיק זה </w:t>
      </w:r>
      <w:r>
        <w:rPr/>
        <w:t>14.12.10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שלא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ממאסרו עבירה כלשהי מסוג פשע הקשורה לנשק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תמורתם</w:t>
      </w:r>
      <w:r>
        <w:rPr>
          <w:rtl w:val="true"/>
        </w:rPr>
        <w:t xml:space="preserve">, </w:t>
      </w:r>
      <w:r>
        <w:rPr>
          <w:rtl w:val="true"/>
        </w:rPr>
        <w:t xml:space="preserve">הקנס ישולם ב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>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1.8.11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הודעה לנאשם זכותו לערער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בבית המשפט 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  <w:t>&lt;</w:t>
      </w:r>
      <w:r>
        <w:rPr>
          <w:sz w:val="2"/>
          <w:szCs w:val="2"/>
        </w:rPr>
        <w:t>#9#</w:t>
      </w:r>
      <w:r>
        <w:rPr>
          <w:sz w:val="2"/>
          <w:szCs w:val="2"/>
          <w:rtl w:val="true"/>
        </w:rPr>
        <w:t>&gt;</w:t>
      </w:r>
    </w:p>
    <w:p>
      <w:pPr>
        <w:pStyle w:val="Normal"/>
        <w:ind w:end="0"/>
        <w:jc w:val="end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 xml:space="preserve">ניתנה והודעה היום 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 סיון תשע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15/06/2011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במעמד הנוכחים</w:t>
      </w:r>
      <w:r>
        <w:rPr>
          <w:b/>
          <w:bCs/>
          <w:sz w:val="26"/>
          <w:szCs w:val="26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כמבוקש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לדיון ליום </w:t>
      </w:r>
      <w:r>
        <w:rPr>
          <w:rFonts w:cs="David" w:ascii="David" w:hAnsi="David"/>
        </w:rPr>
        <w:t>17.7.11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בשעה </w:t>
      </w:r>
      <w:r>
        <w:rPr>
          <w:rFonts w:cs="David" w:ascii="David" w:hAnsi="David"/>
        </w:rPr>
        <w:t>10:30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יובא על ידי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ס ממקום מעצרו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sz w:val="26"/>
          <w:szCs w:val="26"/>
        </w:rPr>
      </w:pPr>
      <w:r>
        <w:rPr>
          <w:b/>
          <w:bCs/>
          <w:color w:val="FFFFFF"/>
          <w:sz w:val="26"/>
          <w:szCs w:val="26"/>
        </w:rPr>
        <w:t>54678313</w:t>
      </w:r>
      <w:r>
        <w:rPr>
          <w:b/>
          <w:b/>
          <w:bCs/>
          <w:sz w:val="26"/>
          <w:sz w:val="26"/>
          <w:szCs w:val="26"/>
          <w:rtl w:val="true"/>
        </w:rPr>
        <w:t>ניתנה והודעה היום י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 סיון תשע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15/06/2011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במעמד הנוכחים</w:t>
      </w:r>
      <w:r>
        <w:rPr>
          <w:b/>
          <w:bCs/>
          <w:sz w:val="26"/>
          <w:szCs w:val="26"/>
          <w:rtl w:val="true"/>
        </w:rPr>
        <w:t xml:space="preserve">. 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מיכל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סינואני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52174-12-10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עדן כהן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/144.b2" TargetMode="External"/><Relationship Id="rId3" Type="http://schemas.openxmlformats.org/officeDocument/2006/relationships/hyperlink" Target="http://www.nevo.co.il/case/2915224" TargetMode="External"/><Relationship Id="rId4" Type="http://schemas.openxmlformats.org/officeDocument/2006/relationships/hyperlink" Target="http://www.nevo.co.il/case/2915224" TargetMode="External"/><Relationship Id="rId5" Type="http://schemas.openxmlformats.org/officeDocument/2006/relationships/hyperlink" Target="http://www.nevo.co.il/case/5588148" TargetMode="External"/><Relationship Id="rId6" Type="http://schemas.openxmlformats.org/officeDocument/2006/relationships/hyperlink" Target="http://www.nevo.co.il/case/2915224" TargetMode="External"/><Relationship Id="rId7" Type="http://schemas.openxmlformats.org/officeDocument/2006/relationships/hyperlink" Target="http://www.nevo.co.il/case/2915224" TargetMode="External"/><Relationship Id="rId8" Type="http://schemas.openxmlformats.org/officeDocument/2006/relationships/hyperlink" Target="http://www.nevo.co.il/case/5588148" TargetMode="External"/><Relationship Id="rId9" Type="http://schemas.openxmlformats.org/officeDocument/2006/relationships/hyperlink" Target="http://www.nevo.co.il/case/5588148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2016-05-03T11:46:00Z</dcterms:created>
  <dc:creator> </dc:creator>
  <dc:description/>
  <cp:keywords/>
  <dc:language>en-IL</dc:language>
  <cp:lastModifiedBy>hofit</cp:lastModifiedBy>
  <dcterms:modified xsi:type="dcterms:W3CDTF">2016-05-03T11:46:00Z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עדן כהן;פרץ נפתלייב</vt:lpwstr>
  </property>
  <property fmtid="{D5CDD505-2E9C-101B-9397-08002B2CF9AE}" pid="4" name="CASESLISTTMP1">
    <vt:lpwstr>2915224:4;5588148:3</vt:lpwstr>
  </property>
  <property fmtid="{D5CDD505-2E9C-101B-9397-08002B2CF9AE}" pid="5" name="CITY">
    <vt:lpwstr>י-ם</vt:lpwstr>
  </property>
  <property fmtid="{D5CDD505-2E9C-101B-9397-08002B2CF9AE}" pid="6" name="DATE">
    <vt:lpwstr>20110615</vt:lpwstr>
  </property>
  <property fmtid="{D5CDD505-2E9C-101B-9397-08002B2CF9AE}" pid="7" name="ISABSTRACT">
    <vt:lpwstr>Y</vt:lpwstr>
  </property>
  <property fmtid="{D5CDD505-2E9C-101B-9397-08002B2CF9AE}" pid="8" name="JUDGE">
    <vt:lpwstr>צבי סגל</vt:lpwstr>
  </property>
  <property fmtid="{D5CDD505-2E9C-101B-9397-08002B2CF9AE}" pid="9" name="LAWLISTTMP1">
    <vt:lpwstr>70301/144.b2</vt:lpwstr>
  </property>
  <property fmtid="{D5CDD505-2E9C-101B-9397-08002B2CF9AE}" pid="10" name="LAWYER">
    <vt:lpwstr>קרן אלטמן</vt:lpwstr>
  </property>
  <property fmtid="{D5CDD505-2E9C-101B-9397-08002B2CF9AE}" pid="11" name="LINKK1">
    <vt:lpwstr>http://www.nevo.co.il/Psika_word/mechozi/ME-10-12-52174-194.doc;להחלטה במחוזי (24-03-2011)#תפ 52174-12-10 מדינת ישראל המחלקה לחקירת שוטרים נ' עדן כהן#שופטים: צבי סגל#עו''ד: קרן אלטמן ממח"ש, דוד הלוי, וו דוד הלוי הסנגוריה הציבורית</vt:lpwstr>
  </property>
  <property fmtid="{D5CDD505-2E9C-101B-9397-08002B2CF9AE}" pid="12" name="LINKK2">
    <vt:lpwstr>http://www.nevo.co.il/Psika_word/mechozi/ME-10-12-52174-425.doc;להחלטה במחוזי (12-09-2011)#תפ 52174-12-10 מדינת ישראל נ' עדן כהן#שופטים: אמנון כהן#עו''ד: דני בר דוד (סנ"צ), רונן יצחק, וו דוד הלוי</vt:lpwstr>
  </property>
  <property fmtid="{D5CDD505-2E9C-101B-9397-08002B2CF9AE}" pid="13" name="LINKK3">
    <vt:lpwstr>http://www.nevo.co.il/Psika_word/elyon/11094570-s01.doc;להחלטה בעליון (21-12-2011)#בשפ 9457/11 מדינת ישראל נ' עדן כהן#שופטים: א' גרוניס#עו''ד: דוד הלוי</vt:lpwstr>
  </property>
  <property fmtid="{D5CDD505-2E9C-101B-9397-08002B2CF9AE}" pid="14" name="LINKK4">
    <vt:lpwstr>http://www.nevo.co.il/Psika_word/mechozi/ME-10-12-52174-194.doc;להחלטה במחוזי (24-03-2011)#תפ 52174-12-10 מדינת ישראל המחלקה לחקירת שוטרים נ' עדן כהן#שופטים: צבי סגל#עו''ד: קרן אלטמן ממח"ש, דוד הלוי, וו דוד הלוי הסנגוריה הציבורית</vt:lpwstr>
  </property>
  <property fmtid="{D5CDD505-2E9C-101B-9397-08002B2CF9AE}" pid="15" name="LINKK5">
    <vt:lpwstr>http://www.nevo.co.il/Psika_word/mechozi/ME-10-12-52174-425.doc;להחלטה במחוזי (12-09-2011)#תפ 52174-12-10 מדינת ישראל נ' עדן כהן#שופטים: אמנון כהן#עו''ד: דני בר דוד (סנ"צ), רונן יצחק, וו דוד הלוי</vt:lpwstr>
  </property>
  <property fmtid="{D5CDD505-2E9C-101B-9397-08002B2CF9AE}" pid="16" name="LINKK6">
    <vt:lpwstr>http://www.nevo.co.il/Psika_word/elyon/11094570-s01.doc;להחלטה בעליון (21-12-2011)#בשפ 9457/11 מדינת ישראל נ' עדן כהן#שופטים: א' גרוניס#עו''ד: דוד הלוי</vt:lpwstr>
  </property>
  <property fmtid="{D5CDD505-2E9C-101B-9397-08002B2CF9AE}" pid="17" name="LINKK7">
    <vt:lpwstr>http://www.nevo.co.il/Psika_word/elyon/11094570-s02.doc;להחלטה בעליון (28-12-2011)#בשפ 9457/11 מדינת ישראל נ' עדן כהן#שופטים: א' גרוניס#עו''ד: דוד הלוי, ארז בן ארויה</vt:lpwstr>
  </property>
  <property fmtid="{D5CDD505-2E9C-101B-9397-08002B2CF9AE}" pid="18" name="NEWPARTA">
    <vt:lpwstr>52174</vt:lpwstr>
  </property>
  <property fmtid="{D5CDD505-2E9C-101B-9397-08002B2CF9AE}" pid="19" name="NEWPARTB">
    <vt:lpwstr>12</vt:lpwstr>
  </property>
  <property fmtid="{D5CDD505-2E9C-101B-9397-08002B2CF9AE}" pid="20" name="NEWPARTC">
    <vt:lpwstr>10</vt:lpwstr>
  </property>
  <property fmtid="{D5CDD505-2E9C-101B-9397-08002B2CF9AE}" pid="21" name="NEWPROC">
    <vt:lpwstr>תפ</vt:lpwstr>
  </property>
  <property fmtid="{D5CDD505-2E9C-101B-9397-08002B2CF9AE}" pid="22" name="PSAKDIN">
    <vt:lpwstr>גזר-דין</vt:lpwstr>
  </property>
  <property fmtid="{D5CDD505-2E9C-101B-9397-08002B2CF9AE}" pid="23" name="TYPE">
    <vt:lpwstr>2</vt:lpwstr>
  </property>
  <property fmtid="{D5CDD505-2E9C-101B-9397-08002B2CF9AE}" pid="24" name="TYPE_ABS_DATE">
    <vt:lpwstr>390020110615</vt:lpwstr>
  </property>
  <property fmtid="{D5CDD505-2E9C-101B-9397-08002B2CF9AE}" pid="25" name="TYPE_N_DATE">
    <vt:lpwstr>39020110615</vt:lpwstr>
  </property>
  <property fmtid="{D5CDD505-2E9C-101B-9397-08002B2CF9AE}" pid="26" name="WORDNUMPAGES">
    <vt:lpwstr>4</vt:lpwstr>
  </property>
</Properties>
</file>