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522-05-17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חוסין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רביע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עינב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איטסקו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דוניא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נעאמנה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31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tl w:val="true"/>
        </w:rPr>
        <w:t xml:space="preserve">, </w:t>
      </w:r>
      <w:r>
        <w:rPr>
          <w:rtl w:val="true"/>
        </w:rPr>
        <w:t>בש</w:t>
      </w:r>
      <w:r>
        <w:rPr>
          <w:rtl w:val="true"/>
        </w:rPr>
        <w:t>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ליפה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נסר</w:t>
      </w:r>
      <w:r>
        <w:rPr>
          <w:rtl w:val="true"/>
        </w:rPr>
        <w:t xml:space="preserve">")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")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bookmarkStart w:id="9" w:name="ABSTRACT_END"/>
      <w:bookmarkEnd w:id="9"/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הקרלו</w:t>
      </w:r>
      <w:r>
        <w:rPr>
          <w:rtl w:val="true"/>
        </w:rPr>
        <w:t xml:space="preserve">"),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1,900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tl w:val="true"/>
        </w:rPr>
        <w:t xml:space="preserve">,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לקרלו</w:t>
      </w:r>
      <w:r>
        <w:rPr>
          <w:rtl w:val="true"/>
        </w:rPr>
        <w:t xml:space="preserve">, </w:t>
      </w:r>
      <w:r>
        <w:rPr>
          <w:rtl w:val="true"/>
        </w:rPr>
        <w:t>ונסר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tl w:val="true"/>
        </w:rPr>
        <w:t xml:space="preserve">,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סירקיס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ובניילון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ולמחסניות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ממוחמד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ותיווך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 xml:space="preserve">KOCH </w:t>
      </w:r>
      <w:r>
        <w:rPr/>
        <w:t xml:space="preserve"> &amp;</w:t>
      </w:r>
      <w:r>
        <w:rPr/>
        <w:t xml:space="preserve"> H</w:t>
      </w:r>
      <w:r>
        <w:rPr/>
        <w:t>ECKLER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P7M13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hyperlink r:id="rId25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15.2.2018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ascii="David" w:hAnsi="David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567" w:start="567" w:end="0"/>
        <w:jc w:val="both"/>
        <w:rPr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  <w:t xml:space="preserve">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27.3.2018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העפר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בתיאוריו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מסורתיים</w:t>
      </w:r>
      <w:r>
        <w:rPr>
          <w:rtl w:val="true"/>
        </w:rPr>
        <w:t xml:space="preserve">,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הפוליטיים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להתמסדותו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המצמצמות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השתדלותו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שתחדד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אגוז</w:t>
      </w:r>
      <w:r>
        <w:rPr>
          <w:rtl w:val="true"/>
        </w:rPr>
        <w:t xml:space="preserve">,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21.4.2010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חקלאיות</w:t>
      </w:r>
      <w:r>
        <w:rPr>
          <w:rtl w:val="true"/>
        </w:rPr>
        <w:t xml:space="preserve">,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פסטיבל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בפסטיבל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לפסטיבל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חוסיין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tl w:val="true"/>
        </w:rPr>
        <w:t xml:space="preserve">, </w:t>
      </w:r>
      <w:r>
        <w:rPr>
          <w:rtl w:val="true"/>
        </w:rPr>
        <w:t>המועמד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 xml:space="preserve">, </w:t>
      </w:r>
      <w:r>
        <w:rPr>
          <w:rtl w:val="true"/>
        </w:rPr>
        <w:t>אינסטלציה</w:t>
      </w:r>
      <w:r>
        <w:rPr>
          <w:rtl w:val="true"/>
        </w:rPr>
        <w:t xml:space="preserve">, </w:t>
      </w:r>
      <w:r>
        <w:rPr>
          <w:rtl w:val="true"/>
        </w:rPr>
        <w:t>ביוב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וכבישים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סוג</w:t>
      </w:r>
      <w:r>
        <w:rPr>
          <w:rtl w:val="true"/>
        </w:rPr>
        <w:t>'</w:t>
      </w:r>
      <w:r>
        <w:rPr>
          <w:rtl w:val="true"/>
        </w:rPr>
        <w:t>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חוסיין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לפסיכולוגיה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tl w:val="true"/>
        </w:rPr>
        <w:t xml:space="preserve">, </w:t>
      </w:r>
      <w:r>
        <w:rPr>
          <w:rtl w:val="true"/>
        </w:rPr>
        <w:t>והפיץ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כשמשמעות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חלופיות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והפיתוח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", </w:t>
      </w:r>
      <w:r>
        <w:rPr>
          <w:rtl w:val="true"/>
        </w:rPr>
        <w:t>המאופיין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</w:rPr>
          <w:t>5668/13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17.3.2016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משמצאנו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21.02.2012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18.7.2013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12.9.2012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10.5.2016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24.6.2015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29</w:t>
      </w:r>
      <w:r>
        <w:rPr>
          <w:rtl w:val="true"/>
        </w:rPr>
        <w:t xml:space="preserve">. </w:t>
        <w:tab/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5814/14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‏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14.6.2015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1"/>
        <w:spacing w:before="0" w:after="240"/>
        <w:ind w:start="1440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בית משפט זה עמד לא אחת על חומרתן המיוחדת של עבירות סחר בנשק ועל הסכנות הצפויות מעבירות כאלה</w:t>
      </w:r>
      <w:r>
        <w:rPr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Century"/>
          <w:rtl w:val="true"/>
        </w:rPr>
        <w:t>אשר עשויות לסלול את הדרך לפעילות אלימה ובלתי חוקית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והדבר חמור שבעתיים במציאות הישראלית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שבה נשק המוחזק באופן בלתי חוקי עלול להתגלגל אף לידי אלו המבקשים להוציא אל הפועל פעילות חבלנית עוינת </w:t>
      </w:r>
      <w:r>
        <w:rPr>
          <w:rFonts w:cs="Century" w:ascii="Century" w:hAnsi="Century"/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מדינת ישראל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 בנבו</w:t>
      </w:r>
      <w:r>
        <w:rPr>
          <w:rFonts w:cs="Century" w:ascii="Century" w:hAnsi="Century"/>
          <w:rtl w:val="true"/>
        </w:rPr>
        <w:t>] (</w:t>
      </w:r>
      <w:r>
        <w:rPr>
          <w:rFonts w:cs="Century" w:ascii="Century" w:hAnsi="Century"/>
        </w:rPr>
        <w:t>18.11.2007</w:t>
      </w:r>
      <w:r>
        <w:rPr>
          <w:rFonts w:cs="Century" w:ascii="Century" w:hAnsi="Century"/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מאל נפאע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מדינת ישראל</w:t>
      </w:r>
      <w:r>
        <w:rPr>
          <w:rFonts w:cs="Century" w:ascii="Century" w:hAnsi="Century"/>
          <w:rtl w:val="true"/>
        </w:rPr>
        <w:t>, [</w:t>
      </w:r>
      <w:r>
        <w:rPr>
          <w:rFonts w:ascii="Century" w:hAnsi="Century" w:cs="Century"/>
          <w:rtl w:val="true"/>
        </w:rPr>
        <w:t>פורסם בנבו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4.12.2011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 נפאע</w:t>
      </w:r>
      <w:r>
        <w:rPr>
          <w:rFonts w:cs="Century" w:ascii="Century" w:hAnsi="Century"/>
          <w:rtl w:val="true"/>
        </w:rPr>
        <w:t xml:space="preserve">))... </w:t>
      </w:r>
      <w:r>
        <w:rPr>
          <w:rFonts w:ascii="Century" w:hAnsi="Century" w:cs="Century"/>
          <w:b/>
          <w:b/>
          <w:bCs/>
          <w:rtl w:val="true"/>
        </w:rPr>
        <w:t>הנה כי כן המגמה היא החמרת הענישה בעבירות סחר בנשק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וזאת לנוכח מימדיה המדאיגים של תופעת הסחר הבלתי חוקי בנשק</w:t>
      </w:r>
      <w:r>
        <w:rPr>
          <w:rFonts w:cs="Century" w:ascii="Century" w:hAnsi="Century"/>
          <w:b/>
          <w:bCs/>
          <w:rtl w:val="true"/>
        </w:rPr>
        <w:t>;</w:t>
      </w:r>
      <w:r>
        <w:rPr>
          <w:rFonts w:cs="Miriam" w:ascii="Century" w:hAnsi="Century"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הסכנות הנשקפות ממנה</w:t>
      </w:r>
      <w:r>
        <w:rPr>
          <w:rFonts w:cs="Century" w:ascii="Century" w:hAnsi="Century"/>
          <w:b/>
          <w:bCs/>
          <w:rtl w:val="true"/>
        </w:rPr>
        <w:t xml:space="preserve">; </w:t>
      </w:r>
      <w:r>
        <w:rPr>
          <w:rFonts w:ascii="Century" w:hAnsi="Century" w:cs="Century"/>
          <w:b/>
          <w:b/>
          <w:bCs/>
          <w:rtl w:val="true"/>
        </w:rPr>
        <w:t>וכן הקלות היחסית שבה ניתן לבצען</w:t>
      </w:r>
      <w:r>
        <w:rPr>
          <w:rFonts w:cs="Century" w:ascii="Century" w:hAnsi="Century"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5080/15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‏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10.3.2016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1"/>
        <w:spacing w:before="0" w:after="240"/>
        <w:ind w:start="1440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בית משפט זה עמד לא אחת על חומרתן המיוחדת של עבירות בנשק ועל הסכנות הצפויות מעבירות כאלה</w:t>
      </w:r>
      <w:r>
        <w:rPr>
          <w:rtl w:val="true"/>
        </w:rPr>
        <w:t xml:space="preserve">, </w:t>
      </w:r>
      <w:r>
        <w:rPr>
          <w:rtl w:val="true"/>
        </w:rPr>
        <w:t xml:space="preserve">אשר גורמות לפעילות עבריינית אחרת ומאיימות על שלום הציבור כולו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rtl w:val="true"/>
        </w:rPr>
        <w:t>עספור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8.2.2012</w:t>
      </w:r>
      <w:r>
        <w:rPr>
          <w:rtl w:val="true"/>
        </w:rPr>
        <w:t>); 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נפעא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4.12.2011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ורי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18.11.2007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בית משפט זה אימץ עמדה עקרונית לפיה יש להחמיר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בענישתם של נאשמים שהורשעו בעבירות נשק בכלל ובעבירות סחר בנשק בפרט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319/11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 xml:space="preserve">יאסין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4.12.2011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6210/10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 xml:space="preserve">אגבריה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23.3.2011</w:t>
      </w:r>
      <w:r>
        <w:rPr>
          <w:rtl w:val="true"/>
        </w:rPr>
        <w:t xml:space="preserve">)). </w:t>
      </w:r>
      <w:r>
        <w:rPr>
          <w:rtl w:val="true"/>
        </w:rPr>
        <w:t>נפסק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יש למגר תופעה של סחר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בכלל זה ניסיון או סיוע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 והובלה של 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שומה לעשות לבטחון הציבור הרחב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 מקום לגישה עונשית מקלה כלפי המערער ואחרים שכמותו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שמסכנים חיי אדם בצורה שכזו</w:t>
      </w:r>
      <w:r>
        <w:rPr>
          <w:rtl w:val="true"/>
        </w:rPr>
        <w:t>"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7317/13</w:t>
        </w:r>
      </w:hyperlink>
      <w:r>
        <w:rPr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אב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 דינו של השופט נ</w:t>
      </w:r>
      <w:r>
        <w:rPr>
          <w:rtl w:val="true"/>
        </w:rPr>
        <w:t xml:space="preserve">' </w:t>
      </w:r>
      <w:r>
        <w:rPr>
          <w:rtl w:val="true"/>
        </w:rPr>
        <w:t xml:space="preserve">סולברג </w:t>
      </w:r>
      <w:r>
        <w:rPr>
          <w:rtl w:val="true"/>
        </w:rPr>
        <w:t>(</w:t>
      </w:r>
      <w:r>
        <w:rPr/>
        <w:t>19.5.2014</w:t>
      </w:r>
      <w:r>
        <w:rPr>
          <w:rtl w:val="true"/>
        </w:rPr>
        <w:t>))". (</w:t>
      </w:r>
      <w:r>
        <w:rPr>
          <w:rtl w:val="true"/>
        </w:rPr>
        <w:t xml:space="preserve">ההדגשות אינן במקור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David" w:hAnsi="David" w:cs="David"/>
        </w:rPr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התופעה של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המביא לא אחת לקיפוח חיי אדם תפסה ממדים מדאיגים לאחרונה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לך כמעט שבוע שבו לא נרצח אדם מירי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במסגרת חיסול חשבונות בין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על רקע סכסוך נקודתי ובין אם מכדור תועה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הסחר בנשק מהווה חלק מאותה שרשרת של פעילות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המובילה להסלמת האלימות והפורענות והשלטת פחד ואימה על מגזרים נרחבים בחברה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כל מקום להשלים עם תופעה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להילחם בה ללא לאות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על ידי הטלת עונשים מחמירים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יצטייד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האבסורד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14.2.2016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",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ובמרבית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לקרלו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לאחֵר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ערלות</w:t>
      </w:r>
      <w:r>
        <w:rPr>
          <w:rtl w:val="true"/>
        </w:rPr>
        <w:t xml:space="preserve">, </w:t>
      </w:r>
      <w:r>
        <w:rPr>
          <w:rtl w:val="true"/>
        </w:rPr>
        <w:t>ונענו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tl w:val="true"/>
        </w:rPr>
        <w:t xml:space="preserve">,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שרקח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30145-12-11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6.2.2012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17.11.2013</w:t>
      </w:r>
      <w:r>
        <w:rPr>
          <w:rtl w:val="true"/>
        </w:rPr>
        <w:t>).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8283/09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</w:t>
      </w:r>
      <w:r>
        <w:rPr/>
        <w:t>20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ני</w:t>
      </w:r>
      <w:r>
        <w:rPr>
          <w:rFonts w:cs="Times New Roman"/>
          <w:rtl w:val="true"/>
        </w:rPr>
        <w:t xml:space="preserve"> </w:t>
      </w:r>
      <w:r>
        <w:rPr/>
        <w:t>2-5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6.9.</w:t>
      </w:r>
      <w:r>
        <w:rPr/>
        <w:t>20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>נד</w:t>
      </w:r>
      <w:r>
        <w:rPr>
          <w:rtl w:val="true"/>
        </w:rPr>
        <w:t>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– </w:t>
      </w:r>
      <w:r>
        <w:rPr/>
        <w:t>M</w:t>
      </w:r>
      <w:r>
        <w:rPr>
          <w:rtl w:val="true"/>
        </w:rPr>
        <w:t xml:space="preserve">;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;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. </w:t>
      </w:r>
    </w:p>
    <w:p>
      <w:pPr>
        <w:pStyle w:val="Style16"/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35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5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12695-05-17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</w:t>
      </w:r>
      <w:r>
        <w:rPr>
          <w:rFonts w:cs="David"/>
          <w:sz w:val="24"/>
          <w:szCs w:val="24"/>
          <w:rtl w:val="true"/>
        </w:rPr>
        <w:t>')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21.2.2018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5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633-05-17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</w:t>
      </w:r>
      <w:r>
        <w:rPr>
          <w:rFonts w:cs="David"/>
          <w:sz w:val="24"/>
          <w:szCs w:val="24"/>
          <w:rtl w:val="true"/>
        </w:rPr>
        <w:t xml:space="preserve">')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שלאעטה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Style16"/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6"/>
        <w:spacing w:lineRule="auto" w:line="360"/>
        <w:ind w:hanging="720" w:start="720" w:end="0"/>
        <w:jc w:val="both"/>
        <w:rPr/>
      </w:pP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השוויון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ההגינות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והצדק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האינטרס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בהליך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ובמערכת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(</w:t>
      </w:r>
      <w:hyperlink r:id="rId6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5195/11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קריניאן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28.3.2012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חסן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23.9.2014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Style16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7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עקרון אחידות הענישה הוא עקרון יסוד במשפט הפלילי אשר נועד להבטיח שוויון בפני החוק ולמנוע שרירות בענישה</w:t>
      </w:r>
      <w:r>
        <w:rPr>
          <w:rtl w:val="true"/>
        </w:rPr>
        <w:t xml:space="preserve">. </w:t>
      </w:r>
      <w:r>
        <w:rPr>
          <w:rtl w:val="true"/>
        </w:rPr>
        <w:t>עקרון זה מורה כי יש להחיל שיקולי ענישה דומים על מי שביצעו עבירות דומות במהותן</w:t>
      </w:r>
      <w:r>
        <w:rPr>
          <w:rtl w:val="true"/>
        </w:rPr>
        <w:t xml:space="preserve">, </w:t>
      </w:r>
      <w:r>
        <w:rPr>
          <w:rtl w:val="true"/>
        </w:rPr>
        <w:t>בנסיבות דומות ובעלי נסיבות אישיות דומות</w:t>
      </w:r>
      <w:r>
        <w:rPr>
          <w:rtl w:val="true"/>
        </w:rPr>
        <w:t xml:space="preserve">. </w:t>
      </w:r>
      <w:r>
        <w:rPr>
          <w:u w:val="single"/>
          <w:rtl w:val="true"/>
        </w:rPr>
        <w:t>עקרון זה מקבל משנה חשיבות כאשר מדובר בנאשמים שונים המורשעים בגדרה של אותה פרשה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חומרתם או בנסיבותיו האישיות של המבצע</w:t>
      </w:r>
      <w:r>
        <w:rPr>
          <w:u w:val="single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שלי 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).</w:t>
      </w:r>
    </w:p>
    <w:p>
      <w:pPr>
        <w:pStyle w:val="Style16"/>
        <w:spacing w:lineRule="auto" w:line="360"/>
        <w:ind w:firstLine="698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Style16"/>
        <w:spacing w:lineRule="auto" w:line="360"/>
        <w:ind w:firstLine="720"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8066/15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חנון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16.10.2016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Style16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u w:val="single"/>
        </w:rPr>
      </w:pP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/>
        <w:t>38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בנסיבות שאינן קשורות בביצוע העבירות ראיתי להביא בחשבון לקולא את הודאתו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הודאה זו ניתנה לאחר שנשמעו חלק מעדי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בהודאה זו היה כדי להביא לחסכון בזמן שיפוטי יקר והיא מגלמת נטילת אחריות מצד הנאשם על מעשיו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לחומרא ראיתי להביא בחשבון את עברו הפלילי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זו היתקלותו הראשונה של הנאשם עם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שבעבר הסתבך בעבירות ביטחון חמורות בגינן ריצה עונש מאסר ממושך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דבריו על אודות הטראומה שחווה במהלך מאסרו הקודם והתנאים הקשים בהם הוחזק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בתנאי בידוד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והמחיר הכבד ששילמה משפחתו בגין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שהנאשם לא השכיל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למרבה הצער יש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להפיק את הלקחים המתבקשים מהמחיר ששילם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 והסתבך בעבירות חמורות פעם נוספת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דבריה של רעייתו הצעירה כמו גם דברי אביו של הנאשם היו נוגעים ללב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בלבי ספק כי משפחתו משלמת מחיר כבד על התנהלותו העבריינית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במשפחה נורמטיבית ובהורים שעברו מסע קשה עם מאסרו הקודם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בהיותו 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אלא שנוכח מעשיו החמורים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שהם משתקפים מן העבירות בהן הורשע בתיק דנא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מנוס מלהטיל על הנאשם עונש מחמיר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 יתן והפעם יפנים את חומרת מעשיו והשלכותיהם על חייו ועל כל היקרים לו וישכיל לתקן דרכיו עם שחרורו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30.3.2017</w:t>
      </w:r>
      <w:r>
        <w:rPr>
          <w:rtl w:val="true"/>
        </w:rPr>
        <w:t xml:space="preserve">. </w:t>
      </w:r>
    </w:p>
    <w:p>
      <w:pPr>
        <w:pStyle w:val="Normal"/>
        <w:spacing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נשק מסוג פשע ויורשע 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12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 w:before="0" w:after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522-05-17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רביע חוסין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QuoteChar">
    <w:name w:val="Quote Char"/>
    <w:qFormat/>
    <w:rPr>
      <w:rFonts w:ascii="Calibri" w:hAnsi="Calibri" w:eastAsia="Calibri" w:cs="David"/>
      <w:i/>
      <w:szCs w:val="24"/>
    </w:rPr>
  </w:style>
  <w:style w:type="character" w:styleId="Style14">
    <w:name w:val="ציטוט תו"/>
    <w:qFormat/>
    <w:rPr>
      <w:rFonts w:cs="David"/>
      <w:i/>
      <w:sz w:val="24"/>
      <w:szCs w:val="24"/>
    </w:rPr>
  </w:style>
  <w:style w:type="character" w:styleId="Style1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6">
    <w:name w:val="ללא מרווח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1">
    <w:name w:val="ציטוט1"/>
    <w:basedOn w:val="Normal"/>
    <w:next w:val="Normal"/>
    <w:qFormat/>
    <w:pPr>
      <w:spacing w:lineRule="auto" w:line="360"/>
      <w:ind w:hanging="0" w:start="1134" w:end="1134"/>
      <w:jc w:val="both"/>
    </w:pPr>
    <w:rPr>
      <w:rFonts w:ascii="Calibri" w:hAnsi="Calibri" w:eastAsia="Calibri" w:cs="Calibri"/>
      <w:i/>
      <w:sz w:val="22"/>
    </w:rPr>
  </w:style>
  <w:style w:type="paragraph" w:styleId="Style17">
    <w:name w:val="ציטוט"/>
    <w:basedOn w:val="Normal"/>
    <w:next w:val="Normal"/>
    <w:qFormat/>
    <w:pPr>
      <w:spacing w:lineRule="auto" w:line="360"/>
      <w:ind w:hanging="0" w:start="1418" w:end="1418"/>
      <w:jc w:val="both"/>
    </w:pPr>
    <w:rPr>
      <w:rFonts w:ascii="Calibri" w:hAnsi="Calibri" w:eastAsia="Calibri" w:cs="Calibri"/>
      <w:i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.c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.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40jc.a" TargetMode="External"/><Relationship Id="rId10" Type="http://schemas.openxmlformats.org/officeDocument/2006/relationships/hyperlink" Target="http://www.nevo.co.il/law/70301/144.b2.;144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2.;144.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2.;14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2.;144.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13093721" TargetMode="External"/><Relationship Id="rId28" Type="http://schemas.openxmlformats.org/officeDocument/2006/relationships/hyperlink" Target="http://www.nevo.co.il/case/7958246" TargetMode="External"/><Relationship Id="rId29" Type="http://schemas.openxmlformats.org/officeDocument/2006/relationships/hyperlink" Target="http://www.nevo.co.il/case/20033641" TargetMode="External"/><Relationship Id="rId30" Type="http://schemas.openxmlformats.org/officeDocument/2006/relationships/hyperlink" Target="http://www.nevo.co.il/law/70301/40jc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c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151556" TargetMode="External"/><Relationship Id="rId35" Type="http://schemas.openxmlformats.org/officeDocument/2006/relationships/hyperlink" Target="http://www.nevo.co.il/case/5821327" TargetMode="External"/><Relationship Id="rId36" Type="http://schemas.openxmlformats.org/officeDocument/2006/relationships/hyperlink" Target="http://www.nevo.co.il/case/5821328" TargetMode="External"/><Relationship Id="rId37" Type="http://schemas.openxmlformats.org/officeDocument/2006/relationships/hyperlink" Target="http://www.nevo.co.il/case/5878682" TargetMode="External"/><Relationship Id="rId38" Type="http://schemas.openxmlformats.org/officeDocument/2006/relationships/hyperlink" Target="http://www.nevo.co.il/case/6950458" TargetMode="External"/><Relationship Id="rId39" Type="http://schemas.openxmlformats.org/officeDocument/2006/relationships/hyperlink" Target="http://www.nevo.co.il/case/5716796" TargetMode="External"/><Relationship Id="rId40" Type="http://schemas.openxmlformats.org/officeDocument/2006/relationships/hyperlink" Target="http://www.nevo.co.il/case/21472954" TargetMode="External"/><Relationship Id="rId41" Type="http://schemas.openxmlformats.org/officeDocument/2006/relationships/hyperlink" Target="http://www.nevo.co.il/case/20395125" TargetMode="External"/><Relationship Id="rId42" Type="http://schemas.openxmlformats.org/officeDocument/2006/relationships/hyperlink" Target="http://www.nevo.co.il/case/17948130" TargetMode="External"/><Relationship Id="rId43" Type="http://schemas.openxmlformats.org/officeDocument/2006/relationships/hyperlink" Target="http://www.nevo.co.il/case/6034921" TargetMode="External"/><Relationship Id="rId44" Type="http://schemas.openxmlformats.org/officeDocument/2006/relationships/hyperlink" Target="http://www.nevo.co.il/case/5821327" TargetMode="External"/><Relationship Id="rId45" Type="http://schemas.openxmlformats.org/officeDocument/2006/relationships/hyperlink" Target="http://www.nevo.co.il/case/20455789" TargetMode="External"/><Relationship Id="rId46" Type="http://schemas.openxmlformats.org/officeDocument/2006/relationships/hyperlink" Target="http://www.nevo.co.il/case/5703734" TargetMode="External"/><Relationship Id="rId47" Type="http://schemas.openxmlformats.org/officeDocument/2006/relationships/hyperlink" Target="http://www.nevo.co.il/case/5821327" TargetMode="External"/><Relationship Id="rId48" Type="http://schemas.openxmlformats.org/officeDocument/2006/relationships/hyperlink" Target="http://www.nevo.co.il/case/6034921" TargetMode="External"/><Relationship Id="rId49" Type="http://schemas.openxmlformats.org/officeDocument/2006/relationships/hyperlink" Target="http://www.nevo.co.il/case/5699080" TargetMode="External"/><Relationship Id="rId50" Type="http://schemas.openxmlformats.org/officeDocument/2006/relationships/hyperlink" Target="http://www.nevo.co.il/case/6054579" TargetMode="External"/><Relationship Id="rId51" Type="http://schemas.openxmlformats.org/officeDocument/2006/relationships/hyperlink" Target="http://www.nevo.co.il/case/8471804" TargetMode="External"/><Relationship Id="rId52" Type="http://schemas.openxmlformats.org/officeDocument/2006/relationships/hyperlink" Target="http://www.nevo.co.il/case/20531134" TargetMode="External"/><Relationship Id="rId53" Type="http://schemas.openxmlformats.org/officeDocument/2006/relationships/hyperlink" Target="http://www.nevo.co.il/case/2826742" TargetMode="External"/><Relationship Id="rId54" Type="http://schemas.openxmlformats.org/officeDocument/2006/relationships/hyperlink" Target="http://www.nevo.co.il/case/5580525" TargetMode="External"/><Relationship Id="rId55" Type="http://schemas.openxmlformats.org/officeDocument/2006/relationships/hyperlink" Target="http://www.nevo.co.il/case/2539256" TargetMode="External"/><Relationship Id="rId56" Type="http://schemas.openxmlformats.org/officeDocument/2006/relationships/hyperlink" Target="http://www.nevo.co.il/case/21474520" TargetMode="External"/><Relationship Id="rId57" Type="http://schemas.openxmlformats.org/officeDocument/2006/relationships/hyperlink" Target="http://www.nevo.co.il/case/21472788" TargetMode="External"/><Relationship Id="rId58" Type="http://schemas.openxmlformats.org/officeDocument/2006/relationships/hyperlink" Target="http://www.nevo.co.il/case/22594422" TargetMode="External"/><Relationship Id="rId59" Type="http://schemas.openxmlformats.org/officeDocument/2006/relationships/hyperlink" Target="http://www.nevo.co.il/case/22579208" TargetMode="External"/><Relationship Id="rId60" Type="http://schemas.openxmlformats.org/officeDocument/2006/relationships/hyperlink" Target="http://www.nevo.co.il/case/5933664" TargetMode="External"/><Relationship Id="rId61" Type="http://schemas.openxmlformats.org/officeDocument/2006/relationships/hyperlink" Target="http://www.nevo.co.il/case/13104267" TargetMode="External"/><Relationship Id="rId62" Type="http://schemas.openxmlformats.org/officeDocument/2006/relationships/hyperlink" Target="http://www.nevo.co.il/case/20683396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2018-10-15T15:46:00Z</dcterms:created>
  <dc:creator> </dc:creator>
  <dc:description/>
  <cp:keywords/>
  <dc:language>en-IL</dc:language>
  <cp:lastModifiedBy>run</cp:lastModifiedBy>
  <dcterms:modified xsi:type="dcterms:W3CDTF">2018-10-15T15:46:00Z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רביע חוסין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13093721;7958246;20033641;6151556;5821327:3;5821328;5878682;6950458;5716796;21472954;20395125;17948130;6034921:2;20455789;5703734;5699080;6054579;8471804;20531134;2826742;5580525;2539256;21474520;21472788;22594422;22579208;5933664;13104267;20683396</vt:lpwstr>
  </property>
  <property fmtid="{D5CDD505-2E9C-101B-9397-08002B2CF9AE}" pid="9" name="CITY">
    <vt:lpwstr>חי'</vt:lpwstr>
  </property>
  <property fmtid="{D5CDD505-2E9C-101B-9397-08002B2CF9AE}" pid="10" name="DATE">
    <vt:lpwstr>20180503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70301/144.b2:4;144.c:3;144.a:6;014.c;031;40jc.a;040c</vt:lpwstr>
  </property>
  <property fmtid="{D5CDD505-2E9C-101B-9397-08002B2CF9AE}" pid="15" name="LAWYER">
    <vt:lpwstr>עינב איטסקו;דוניא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522</vt:lpwstr>
  </property>
  <property fmtid="{D5CDD505-2E9C-101B-9397-08002B2CF9AE}" pid="22" name="NEWPARTB">
    <vt:lpwstr>05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390020180503</vt:lpwstr>
  </property>
  <property fmtid="{D5CDD505-2E9C-101B-9397-08002B2CF9AE}" pid="34" name="TYPE_N_DATE">
    <vt:lpwstr>39020180503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