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52416-06-20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מתאני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סנד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מתאני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בהתאם להודאתו בעובדות כתב האישום המתוקן בעבירת </w:t>
      </w:r>
      <w:r>
        <w:rPr>
          <w:b/>
          <w:b/>
          <w:bCs/>
          <w:rtl w:val="true"/>
        </w:rPr>
        <w:t>נשיאת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16.6.20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הגיע לידיו של הנאשם אקדח גנוב מדגם יריחו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 xml:space="preserve">ביום </w:t>
      </w:r>
      <w:r>
        <w:rPr/>
        <w:t>16.6.20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כוח משטרה התמקם בסמוך למתחם מגוריו של הנאשם ותצפת לעבר המתחם לקראת ביצוע חיפוש במקום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16:30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הנאשם יצא ממתחם ביתו כשהוא נושא עליו את האקדח שהיה טעון במחסנית וכדורים תואמים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מוסתר במכנסיו</w:t>
      </w:r>
      <w:r>
        <w:rPr>
          <w:rtl w:val="true"/>
        </w:rPr>
        <w:t xml:space="preserve">. </w:t>
      </w:r>
      <w:r>
        <w:rPr>
          <w:rtl w:val="true"/>
        </w:rPr>
        <w:t>הכוח המשטרתי הבחין בנאשם שיצא ממתחם המגורים ורכב על אופניו במהירות</w:t>
      </w:r>
      <w:r>
        <w:rPr>
          <w:rtl w:val="true"/>
        </w:rPr>
        <w:t xml:space="preserve">, </w:t>
      </w:r>
      <w:r>
        <w:rPr>
          <w:rtl w:val="true"/>
        </w:rPr>
        <w:t>תוך שהוא מביט לצדדים בחשדנות</w:t>
      </w:r>
      <w:r>
        <w:rPr>
          <w:rtl w:val="true"/>
        </w:rPr>
        <w:t xml:space="preserve">. </w:t>
      </w:r>
      <w:r>
        <w:rPr>
          <w:rtl w:val="true"/>
        </w:rPr>
        <w:t xml:space="preserve">השוטרים נסעו לכיוון הנאשם ובשעה </w:t>
      </w:r>
      <w:r>
        <w:rPr/>
        <w:t>16:40</w:t>
      </w:r>
      <w:r>
        <w:rPr>
          <w:rtl w:val="true"/>
        </w:rPr>
        <w:t xml:space="preserve"> </w:t>
      </w:r>
      <w:r>
        <w:rPr>
          <w:rtl w:val="true"/>
        </w:rPr>
        <w:t>הבחינו בו רוכב על אופניו בניגוד לכיוון התנועה בכביש</w:t>
      </w:r>
      <w:r>
        <w:rPr>
          <w:rtl w:val="true"/>
        </w:rPr>
        <w:t xml:space="preserve">. </w:t>
      </w:r>
      <w:r>
        <w:rPr>
          <w:rtl w:val="true"/>
        </w:rPr>
        <w:t>בהמשך לכך הגיע רכב משטרתי בנסיעה מול הנאשם ואירעה התנגשות בין הרכב המשטרתי לנאשם</w:t>
      </w:r>
      <w:r>
        <w:rPr>
          <w:rtl w:val="true"/>
        </w:rPr>
        <w:t xml:space="preserve">. </w:t>
      </w:r>
      <w:r>
        <w:rPr>
          <w:rtl w:val="true"/>
        </w:rPr>
        <w:t>הנאשם נפל מאופניו ורץ במהירות לכיוון בית עסק הנמצא בסמוך למקום</w:t>
      </w:r>
      <w:r>
        <w:rPr>
          <w:rtl w:val="true"/>
        </w:rPr>
        <w:t xml:space="preserve">. </w:t>
      </w:r>
      <w:r>
        <w:rPr>
          <w:rtl w:val="true"/>
        </w:rPr>
        <w:t>בשלב זה הנאשם הגיע לדרך ללא מוצא והשליך את האקדח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הוסכם כי המאשימה תטען לעונש ראוי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, </w:t>
      </w:r>
      <w:r>
        <w:rPr>
          <w:rtl w:val="true"/>
        </w:rPr>
        <w:t>ואילו ההגנה תהא חופשיה בטיעוניה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בעבירת נשיאת נשק ותחמושת קשור בסיכון שהנשק יגיע לגורמים שיעשו בו שימוש למטרות פסולות – פליליות או ביטחוניות</w:t>
      </w:r>
      <w:r>
        <w:rPr>
          <w:rtl w:val="true"/>
        </w:rPr>
        <w:t xml:space="preserve">. </w:t>
      </w:r>
      <w:r>
        <w:rPr>
          <w:rtl w:val="true"/>
        </w:rPr>
        <w:t>העבירה אירעה בשעת צהרים</w:t>
      </w:r>
      <w:r>
        <w:rPr>
          <w:rtl w:val="true"/>
        </w:rPr>
        <w:t xml:space="preserve">, </w:t>
      </w:r>
      <w:r>
        <w:rPr>
          <w:rtl w:val="true"/>
        </w:rPr>
        <w:t>ולא אחת מצבים דומים הובילו לפגיעות בגוף ומכאן שהנזק הפוטנציאלי הוא עצום</w:t>
      </w:r>
      <w:r>
        <w:rPr>
          <w:rtl w:val="true"/>
        </w:rPr>
        <w:t xml:space="preserve">. </w:t>
      </w:r>
      <w:r>
        <w:rPr>
          <w:rtl w:val="true"/>
        </w:rPr>
        <w:t>לאחרונה בית המשפט העליון חזר והחמיר בפסיקתו בעבירות הנשק</w:t>
      </w:r>
      <w:r>
        <w:rPr>
          <w:rtl w:val="true"/>
        </w:rPr>
        <w:t xml:space="preserve">. </w:t>
      </w:r>
      <w:r>
        <w:rPr>
          <w:rtl w:val="true"/>
        </w:rPr>
        <w:t>מידת הפגיעה בערך המוגן היא בינונית</w:t>
      </w:r>
      <w:r>
        <w:rPr>
          <w:rtl w:val="true"/>
        </w:rPr>
        <w:t xml:space="preserve">. </w:t>
      </w:r>
      <w:r>
        <w:rPr>
          <w:rtl w:val="true"/>
        </w:rPr>
        <w:t xml:space="preserve">העונש המרבי הקבוע בצד עבירת נשיאת נשק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החמור יותר מהעונש המרבי בצד עבירת החזקת נשק שהוא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נשיאת אקדח חמורה פחות מנשיאת תת מקלע</w:t>
      </w:r>
      <w:r>
        <w:rPr>
          <w:rtl w:val="true"/>
        </w:rPr>
        <w:t xml:space="preserve">. </w:t>
      </w:r>
      <w:r>
        <w:rPr>
          <w:rtl w:val="true"/>
        </w:rPr>
        <w:t>מדובר באירוע אחד בו הנאשם יצא מביתו חמוש באקדח טעון בכדורים</w:t>
      </w:r>
      <w:r>
        <w:rPr>
          <w:rtl w:val="true"/>
        </w:rPr>
        <w:t xml:space="preserve">, </w:t>
      </w:r>
      <w:r>
        <w:rPr>
          <w:rtl w:val="true"/>
        </w:rPr>
        <w:t>קיים תכנון מוקדם</w:t>
      </w:r>
      <w:r>
        <w:rPr>
          <w:rtl w:val="true"/>
        </w:rPr>
        <w:t xml:space="preserve">, </w:t>
      </w:r>
      <w:r>
        <w:rPr>
          <w:rtl w:val="true"/>
        </w:rPr>
        <w:t>הוא הצטייד בנשק והסליק אותו במתחם הבית</w:t>
      </w:r>
      <w:r>
        <w:rPr>
          <w:rtl w:val="true"/>
        </w:rPr>
        <w:t xml:space="preserve">. </w:t>
      </w:r>
      <w:r>
        <w:rPr>
          <w:rtl w:val="true"/>
        </w:rPr>
        <w:t xml:space="preserve">לנאשם הרשעה רלוונטית מבית משפט השלום בכפר סבא בו נדון לעונש מאסר מותנה שהסתיים בחודש אפריל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 xml:space="preserve">הנאשם ביצע את העבירה בחודש יוני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כך שהתנאי לא חל</w:t>
      </w:r>
      <w:r>
        <w:rPr>
          <w:rtl w:val="true"/>
        </w:rPr>
        <w:t xml:space="preserve">. </w:t>
      </w:r>
      <w:r>
        <w:rPr>
          <w:rtl w:val="true"/>
        </w:rPr>
        <w:t xml:space="preserve">הוא נדון אז לעונש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ושוחרר ביום </w:t>
      </w:r>
      <w:r>
        <w:rPr/>
        <w:t>26.4.17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עונש הנע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וקביעת עונשו של הנאשם באמצעו של מתחם העונש –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רומח שביט</w:t>
      </w:r>
      <w:r>
        <w:rPr>
          <w:rtl w:val="true"/>
        </w:rPr>
        <w:t xml:space="preserve">, </w:t>
      </w:r>
      <w:r>
        <w:rPr>
          <w:rtl w:val="true"/>
        </w:rPr>
        <w:t>מדובר במשק חקלאי ולא בבית בו הוא גר</w:t>
      </w:r>
      <w:r>
        <w:rPr>
          <w:rtl w:val="true"/>
        </w:rPr>
        <w:t xml:space="preserve">. </w:t>
      </w:r>
      <w:r>
        <w:rPr>
          <w:rtl w:val="true"/>
        </w:rPr>
        <w:t>נשיאת האקדח לא הייתה באזור שבו מסתובבים ילדים</w:t>
      </w:r>
      <w:r>
        <w:rPr>
          <w:rtl w:val="true"/>
        </w:rPr>
        <w:t xml:space="preserve">, </w:t>
      </w:r>
      <w:r>
        <w:rPr>
          <w:rtl w:val="true"/>
        </w:rPr>
        <w:t>אלא מדובר באזור החקלאי</w:t>
      </w:r>
      <w:r>
        <w:rPr>
          <w:rtl w:val="true"/>
        </w:rPr>
        <w:t xml:space="preserve">. </w:t>
      </w:r>
      <w:r>
        <w:rPr>
          <w:rtl w:val="true"/>
        </w:rPr>
        <w:t>בכתב האישום נערך תיקון משמעותי</w:t>
      </w:r>
      <w:r>
        <w:rPr>
          <w:rtl w:val="true"/>
        </w:rPr>
        <w:t xml:space="preserve">. </w:t>
      </w:r>
      <w:r>
        <w:rPr>
          <w:rtl w:val="true"/>
        </w:rPr>
        <w:t>מדובר בעבירת נשיאת נשק בלבד</w:t>
      </w:r>
      <w:r>
        <w:rPr>
          <w:rtl w:val="true"/>
        </w:rPr>
        <w:t xml:space="preserve">, </w:t>
      </w:r>
      <w:r>
        <w:rPr>
          <w:rtl w:val="true"/>
        </w:rPr>
        <w:t>ללא עבירות נלוות</w:t>
      </w:r>
      <w:r>
        <w:rPr>
          <w:rtl w:val="true"/>
        </w:rPr>
        <w:t xml:space="preserve">. </w:t>
      </w:r>
      <w:r>
        <w:rPr>
          <w:rtl w:val="true"/>
        </w:rPr>
        <w:t>כלל הנסיבות שיוחסו לנאשם בעניין ההתנגשות בניידת ואי היעתרות לקריאות השוטרים נמחקו</w:t>
      </w:r>
      <w:r>
        <w:rPr>
          <w:rtl w:val="true"/>
        </w:rPr>
        <w:t xml:space="preserve">, </w:t>
      </w:r>
      <w:r>
        <w:rPr>
          <w:rtl w:val="true"/>
        </w:rPr>
        <w:t>ונושא התנהלות השוטרים נמצא בחקירת 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נסיבות העבירה כוללות נשיאה של אקדח אחד ומחסנית</w:t>
      </w:r>
      <w:r>
        <w:rPr>
          <w:rtl w:val="true"/>
        </w:rPr>
        <w:t xml:space="preserve">, </w:t>
      </w:r>
      <w:r>
        <w:rPr>
          <w:rtl w:val="true"/>
        </w:rPr>
        <w:t>במשק חקלאי של משפחתו</w:t>
      </w:r>
      <w:r>
        <w:rPr>
          <w:rtl w:val="true"/>
        </w:rPr>
        <w:t xml:space="preserve">. </w:t>
      </w:r>
      <w:r>
        <w:rPr>
          <w:rtl w:val="true"/>
        </w:rPr>
        <w:t>עד למעצרו</w:t>
      </w:r>
      <w:r>
        <w:rPr>
          <w:rtl w:val="true"/>
        </w:rPr>
        <w:t xml:space="preserve">, </w:t>
      </w:r>
      <w:r>
        <w:rPr>
          <w:rtl w:val="true"/>
        </w:rPr>
        <w:t>הנאשם היה זה ששמר על המשק</w:t>
      </w:r>
      <w:r>
        <w:rPr>
          <w:rtl w:val="true"/>
        </w:rPr>
        <w:t xml:space="preserve">. </w:t>
      </w:r>
      <w:r>
        <w:rPr>
          <w:rtl w:val="true"/>
        </w:rPr>
        <w:t>אביו הציב שם קרוואן שיוכל לישון במקום</w:t>
      </w:r>
      <w:r>
        <w:rPr>
          <w:rtl w:val="true"/>
        </w:rPr>
        <w:t xml:space="preserve">. </w:t>
      </w:r>
      <w:r>
        <w:rPr>
          <w:rtl w:val="true"/>
        </w:rPr>
        <w:t>הוא נתפס כשיצא מהשטח החקלאי עם האקדח במכנסיו</w:t>
      </w:r>
      <w:r>
        <w:rPr>
          <w:rtl w:val="true"/>
        </w:rPr>
        <w:t xml:space="preserve">. </w:t>
      </w:r>
      <w:r>
        <w:rPr>
          <w:rtl w:val="true"/>
        </w:rPr>
        <w:t>נשיאת הנשק הייתה ללא שימוש בנשק או איום ולא במסגרת סכסוך</w:t>
      </w:r>
      <w:r>
        <w:rPr>
          <w:rtl w:val="true"/>
        </w:rPr>
        <w:t xml:space="preserve">. </w:t>
      </w:r>
      <w:r>
        <w:rPr>
          <w:rtl w:val="true"/>
        </w:rPr>
        <w:t>הנשיאה של האקדח הייתה ברכיבה על אופניים ולא בנסיעה ברכב</w:t>
      </w:r>
      <w:r>
        <w:rPr>
          <w:rtl w:val="true"/>
        </w:rPr>
        <w:t xml:space="preserve">. </w:t>
      </w:r>
      <w:r>
        <w:rPr>
          <w:rtl w:val="true"/>
        </w:rPr>
        <w:t>מדובר בפגיעה ברף הנמוך של הערך המוגן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למתחם עונש שנע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הנאשם צעיר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, </w:t>
      </w:r>
      <w:r>
        <w:rPr>
          <w:rtl w:val="true"/>
        </w:rPr>
        <w:t>כל חייו לפניו וכך גם סיכויי שיקומו</w:t>
      </w:r>
      <w:r>
        <w:rPr>
          <w:rtl w:val="true"/>
        </w:rPr>
        <w:t xml:space="preserve">. </w:t>
      </w:r>
      <w:r>
        <w:rPr>
          <w:rtl w:val="true"/>
        </w:rPr>
        <w:t>בן למשפחה נורמטיבית ולמעט הסתבכותו זו והקודמת</w:t>
      </w:r>
      <w:r>
        <w:rPr>
          <w:rtl w:val="true"/>
        </w:rPr>
        <w:t xml:space="preserve">, </w:t>
      </w:r>
      <w:r>
        <w:rPr>
          <w:rtl w:val="true"/>
        </w:rPr>
        <w:t>אין רקע פלילי במשפחה</w:t>
      </w:r>
      <w:r>
        <w:rPr>
          <w:rtl w:val="true"/>
        </w:rPr>
        <w:t xml:space="preserve">. </w:t>
      </w:r>
      <w:r>
        <w:rPr>
          <w:rtl w:val="true"/>
        </w:rPr>
        <w:t>אביו של הנאשם עזב את עבודתו כחשמלאי ולקח על עצמו את הטיפול במשק</w:t>
      </w:r>
      <w:r>
        <w:rPr>
          <w:rtl w:val="true"/>
        </w:rPr>
        <w:t xml:space="preserve">. </w:t>
      </w:r>
      <w:r>
        <w:rPr>
          <w:rtl w:val="true"/>
        </w:rPr>
        <w:t xml:space="preserve">הנאשם עצור מאז חודש יוני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ובשל מגבלות הקורונה המעצר היה ללא ביקורים</w:t>
      </w:r>
      <w:r>
        <w:rPr>
          <w:rtl w:val="true"/>
        </w:rPr>
        <w:t xml:space="preserve">, </w:t>
      </w:r>
      <w:r>
        <w:rPr>
          <w:rtl w:val="true"/>
        </w:rPr>
        <w:t>ללא תעסוקה וללא חינוך</w:t>
      </w:r>
      <w:r>
        <w:rPr>
          <w:rtl w:val="true"/>
        </w:rPr>
        <w:t xml:space="preserve">. </w:t>
      </w:r>
      <w:r>
        <w:rPr>
          <w:rtl w:val="true"/>
        </w:rPr>
        <w:t>הנאשם הודה בביצוע העבירה</w:t>
      </w:r>
      <w:r>
        <w:rPr>
          <w:rtl w:val="true"/>
        </w:rPr>
        <w:t xml:space="preserve">, </w:t>
      </w:r>
      <w:r>
        <w:rPr>
          <w:rtl w:val="true"/>
        </w:rPr>
        <w:t>חסך זמן שיפוטי יקר ונטל אחריות</w:t>
      </w:r>
      <w:r>
        <w:rPr>
          <w:rtl w:val="true"/>
        </w:rPr>
        <w:t xml:space="preserve">. </w:t>
      </w:r>
      <w:r>
        <w:rPr>
          <w:rtl w:val="true"/>
        </w:rPr>
        <w:t>בנוגע לעברו הפלילי</w:t>
      </w:r>
      <w:r>
        <w:rPr>
          <w:rtl w:val="true"/>
        </w:rPr>
        <w:t xml:space="preserve">, </w:t>
      </w:r>
      <w:r>
        <w:rPr>
          <w:rtl w:val="true"/>
        </w:rPr>
        <w:t>בתיק הקודם הוא היה קטין אך נשפט עם שותף בגיר בבית משפט השלום</w:t>
      </w:r>
      <w:r>
        <w:rPr>
          <w:rtl w:val="true"/>
        </w:rPr>
        <w:t xml:space="preserve">, </w:t>
      </w:r>
      <w:r>
        <w:rPr>
          <w:rtl w:val="true"/>
        </w:rPr>
        <w:t>כאשר השותף היה גיסו</w:t>
      </w:r>
      <w:r>
        <w:rPr>
          <w:rtl w:val="true"/>
        </w:rPr>
        <w:t xml:space="preserve">, </w:t>
      </w:r>
      <w:r>
        <w:rPr>
          <w:rtl w:val="true"/>
        </w:rPr>
        <w:t>והגיס היה הנאשם העיקרי באותן עבירות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להשית על הנאשם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שהוא מאוד מצטער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start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נשיאת נשק הוא הגנה על בטחון הציבור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אקדח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לשלום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19.4.14</w:t>
      </w:r>
      <w:r>
        <w:rPr>
          <w:rFonts w:cs="David" w:ascii="David" w:hAnsi="David"/>
          <w:rtl w:val="true"/>
        </w:rPr>
        <w:t xml:space="preserve">];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בין היתר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],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בהקשר זה יש לתת את הדעת לכך שהנאשם ביצע 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שהיא חמורה יותר מעבירה של החזקת נשק אשר העונש הקבוע בצידה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יש לתת את הדעת לכך שעסקינן בנשיאה של כלי נשק מסוג אקדח</w:t>
      </w:r>
      <w:r>
        <w:rPr>
          <w:rtl w:val="true"/>
        </w:rPr>
        <w:t xml:space="preserve">, </w:t>
      </w:r>
      <w:r>
        <w:rPr>
          <w:rtl w:val="true"/>
        </w:rPr>
        <w:t>שהיא פחות חמורה מאשר עבירה בנשק מסוג תת מקלע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יותר של תת מקלע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 בדרגת ביניים של חומרה שהיא גבוהה יותר מהחזקת אקדח</w:t>
      </w:r>
      <w:r>
        <w:rPr>
          <w:rtl w:val="true"/>
        </w:rPr>
        <w:t xml:space="preserve">, </w:t>
      </w:r>
      <w:r>
        <w:rPr>
          <w:rtl w:val="true"/>
        </w:rPr>
        <w:t>ונמוכה יותר מנשיאת תת מקלע</w:t>
      </w:r>
      <w:r>
        <w:rPr>
          <w:rtl w:val="true"/>
        </w:rPr>
        <w:t xml:space="preserve">. </w:t>
      </w:r>
      <w:r>
        <w:rPr>
          <w:rtl w:val="true"/>
        </w:rPr>
        <w:t>חומרת הפגיעה נלמדת גם מכך שהנאשם נשא את הנשק בשעת הצהרים בעיר מגוריו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יצא ממתחם מגוריו כשהוא נושא אקדח טעון במחסנית וכדורים תואמים מוסתר במכנסיו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רכב על אופניו עד שאירעה התנגשות בינו לבין ניידת משטרה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בעקבות תצפית שנערכה על מתחם ביתו לקראת עריכת חיפוש במקום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נפל מאופניו נמלט מהמקום עד שהגיע לדרך ללא מוצא והשליך את האקדח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בעבירות נשק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נובע מהחשש מפני הגעת הנשק לידי אחרים שעלולים לעשות בו שימוש במכוון או בשגגה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6047/20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רוש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העליון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רכב על אופנוע כשהוא נושא אקדח ובו מחסנית עם כדור אחד ומשתיק קול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הצדדים עתרו במסגרת הסדר טיעון להשית על הנאשם עונש של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והפעלת מאסר מותנה חלקו במצטבר כך שירצה עונש של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המחוזי דחה את הסדר הטיעון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42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משפט העליון הקל בעונשו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בהסכמת הצדדים והטיל עליו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האקדח והתחמושת נתפסו בחיפוש שגרתי שביצעה המשטרה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2892/13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עודתאללה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29.9.13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לאחר ניהול הוכחות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בעבירה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נהג ברכב והוביל אקדח ובו מחסנית ריקה מכדורים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נעדר עבר פלילי ועד לביצוע העבירה ניהל אורח חיים נורמטיבי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והטיל על הנאשם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4329/10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25.10.10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בנשיאת נשק ובהחזקתו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באקדח טעון בתחמושת בעת שנהג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סטודנט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נעדר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ששירות המבחן המליץ בעניינו להסתפק בעונש של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השית על הנאשם 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בתמורה כספית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4215/18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טיב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8.7.18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שהה בסמטה סמוכה לחצר 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נושא על גופו אקדח טעון בארבעה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צירף שני תיקים של החזקת סמים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לחובתו הרשעה קודמת אחת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41522-05-18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אזברגה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נשיאת נשק ותחמושת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מרכבו כשהוא נושא אקדח חצי אוטומטי והטמינו תחת חולצתו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כשהבחין בשוטרים נמלט מהמקום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השוטרים רדפו אחריו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הוא קפץ מעל לחומה והאקדח נפל מגופו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הנאשם בעל נסיבות חיים קשות ועבר פלילי לא מכביד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14115-07-19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בארין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על גופו אקדח ומחסנית ובה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משהבחין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נמלט מהמקום כשהשוטרים בעקבותיו עד שנתפס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בעברו הרשעה אחת שהתיישנה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44381-05-20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סאלח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27.10.20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התהלך בעיר מגוריו כשהוא נושא בידו אקדח ובו מחסנית ו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בן </w:t>
      </w:r>
      <w:r>
        <w:rPr>
          <w:rStyle w:val="default"/>
          <w:rFonts w:cs="David" w:ascii="David" w:hAnsi="David"/>
        </w:rPr>
        <w:t>19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ללא עבר פלילי אשר עד למעצרו התנהל באופן נורמטיבי נדון לעונש של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6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גזירת העונש המתאים 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צעיר בן </w:t>
      </w:r>
      <w:r>
        <w:rPr>
          <w:rStyle w:val="default"/>
        </w:rPr>
        <w:t>23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הודה ונטל אחריות לביצוע העבירה והביע חרטה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ניתן להניח שעונש מאסר ממושך יקשה על הנאשם אף שריצה בעבר עונש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מאסר ממושך אף יקשה על בני משפחתו אשר נעזרו בו בעסקיהם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לא הופנה לקבלת תסקיר שירות המבחן ולא שולב במסגרת שיקומית כלשהי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בעברו של הנאשם הרשעה אחת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בשני תיקים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משנת </w:t>
      </w:r>
      <w:r>
        <w:rPr>
          <w:rStyle w:val="default"/>
        </w:rPr>
        <w:t>2017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בגין ביצוע עבירות של החזקת נשק ותחמושת וכן גרימת חבלה חמורה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בגין עבירות אלה נדון לעונש של </w:t>
      </w:r>
      <w:r>
        <w:rPr>
          <w:rStyle w:val="default"/>
        </w:rPr>
        <w:t>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לצד מאסר על תנאי שתוקפו פג כחודשיים טרם ביצע את העבירה דנן </w:t>
      </w:r>
      <w:r>
        <w:rPr>
          <w:rStyle w:val="default"/>
          <w:rtl w:val="true"/>
        </w:rPr>
        <w:t>(</w:t>
      </w:r>
      <w:hyperlink r:id="rId2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37833-07-16</w:t>
        </w:r>
      </w:hyperlink>
      <w:r>
        <w:rPr>
          <w:rStyle w:val="default"/>
          <w:rtl w:val="true"/>
        </w:rPr>
        <w:t xml:space="preserve">). </w:t>
      </w:r>
      <w:r>
        <w:rPr>
          <w:rStyle w:val="default"/>
          <w:rtl w:val="true"/>
        </w:rPr>
        <w:t>העובדה כי מדובר בהרשעה שנייה בתחום הנשק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מובילה למסקנה בדבר היותו של הנאשם מועד לביצוע עבירות מסוג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באופן אשר מצדיק החמרה בעונשו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בגדרי המתחם</w:t>
      </w:r>
      <w:r>
        <w:rPr>
          <w:rStyle w:val="default"/>
          <w:rtl w:val="true"/>
        </w:rPr>
        <w:t xml:space="preserve">. </w:t>
      </w:r>
      <w:r>
        <w:rPr>
          <w:rtl w:val="true"/>
        </w:rPr>
        <w:t xml:space="preserve">כמו כן נתתי דעתי לתקופת המעצר שבה שוהה הנאשם מאז חודש יוני </w:t>
      </w:r>
      <w:r>
        <w:rPr/>
        <w:t>20</w:t>
      </w:r>
      <w:r>
        <w:rPr>
          <w:rtl w:val="true"/>
        </w:rPr>
        <w:t xml:space="preserve">', </w:t>
      </w:r>
      <w:r>
        <w:rPr>
          <w:rtl w:val="true"/>
        </w:rPr>
        <w:t>ולכך שהמגבלות הנובעות ממגפת הקורונה השפיעו על תנאי מעצרו</w:t>
      </w:r>
      <w:r>
        <w:rPr>
          <w:rtl w:val="true"/>
        </w:rPr>
        <w:t xml:space="preserve">, </w:t>
      </w:r>
      <w:r>
        <w:rPr>
          <w:rtl w:val="true"/>
        </w:rPr>
        <w:t>לרבות לעניין ביקורים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שלסנקציות משפטיות שהוטלו על הנאשם בגין עבירה דומה</w:t>
      </w:r>
      <w:r>
        <w:rPr>
          <w:rtl w:val="true"/>
        </w:rPr>
        <w:t xml:space="preserve">, </w:t>
      </w:r>
      <w:r>
        <w:rPr>
          <w:rtl w:val="true"/>
        </w:rPr>
        <w:t>ובכלל זה ריצוי עונש מאסר בפועל</w:t>
      </w:r>
      <w:r>
        <w:rPr>
          <w:rtl w:val="true"/>
        </w:rPr>
        <w:t xml:space="preserve">, </w:t>
      </w:r>
      <w:r>
        <w:rPr>
          <w:rtl w:val="true"/>
        </w:rPr>
        <w:t>לא הייתה השפעה ממתנת ומרתיעה</w:t>
      </w:r>
      <w:r>
        <w:rPr>
          <w:rtl w:val="true"/>
        </w:rPr>
        <w:t xml:space="preserve">, </w:t>
      </w:r>
      <w:r>
        <w:rPr>
          <w:rtl w:val="true"/>
        </w:rPr>
        <w:t>ולא היה במאסרו הקודם כדי למנוע ממנו מלשוב לסורו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Style w:val="default"/>
          <w:rtl w:val="true"/>
        </w:rPr>
        <w:t>הנאשם לא שולב בכל טיפול או שיקום במצבו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המרכזי של מתחם העונש לצד עונש מאסר מותנה וקנס כספי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23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אשר מניינם מיום מעצרו </w:t>
      </w:r>
      <w:r>
        <w:rPr>
          <w:rStyle w:val="default"/>
          <w:rFonts w:cs="David" w:ascii="David" w:hAnsi="David"/>
        </w:rPr>
        <w:t>16.6.20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שנה מיום שחרורו כל עבירת נשק מסוג עוון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1,500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הקנס ישולם ב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 שווים</w:t>
      </w:r>
      <w:r>
        <w:rPr>
          <w:rFonts w:ascii="David" w:hAnsi="David"/>
          <w:rtl w:val="true"/>
          <w:lang w:eastAsia="he-IL"/>
        </w:rPr>
        <w:t xml:space="preserve"> ורצופים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שהראשון שבהם ביום </w:t>
      </w:r>
      <w:r>
        <w:rPr>
          <w:rFonts w:cs="David" w:ascii="David" w:hAnsi="David"/>
          <w:lang w:eastAsia="he-IL"/>
        </w:rPr>
        <w:t>1.4.21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אם לא ישולם תשלום 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52416-06-20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סנד מתאני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940943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6492590" TargetMode="External"/><Relationship Id="rId10" Type="http://schemas.openxmlformats.org/officeDocument/2006/relationships/hyperlink" Target="http://www.nevo.co.il/case/26888657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13093744" TargetMode="External"/><Relationship Id="rId13" Type="http://schemas.openxmlformats.org/officeDocument/2006/relationships/hyperlink" Target="http://www.nevo.co.il/case/17954222" TargetMode="External"/><Relationship Id="rId14" Type="http://schemas.openxmlformats.org/officeDocument/2006/relationships/hyperlink" Target="http://www.nevo.co.il/case/18086234" TargetMode="External"/><Relationship Id="rId15" Type="http://schemas.openxmlformats.org/officeDocument/2006/relationships/hyperlink" Target="http://www.nevo.co.il/case/20723375" TargetMode="External"/><Relationship Id="rId16" Type="http://schemas.openxmlformats.org/officeDocument/2006/relationships/hyperlink" Target="http://www.nevo.co.il/case/26964498" TargetMode="External"/><Relationship Id="rId17" Type="http://schemas.openxmlformats.org/officeDocument/2006/relationships/hyperlink" Target="http://www.nevo.co.il/case/5878682" TargetMode="External"/><Relationship Id="rId18" Type="http://schemas.openxmlformats.org/officeDocument/2006/relationships/hyperlink" Target="http://www.nevo.co.il/case/6949290" TargetMode="External"/><Relationship Id="rId19" Type="http://schemas.openxmlformats.org/officeDocument/2006/relationships/hyperlink" Target="http://www.nevo.co.il/case/5950172" TargetMode="External"/><Relationship Id="rId20" Type="http://schemas.openxmlformats.org/officeDocument/2006/relationships/hyperlink" Target="http://www.nevo.co.il/case/25612982" TargetMode="External"/><Relationship Id="rId21" Type="http://schemas.openxmlformats.org/officeDocument/2006/relationships/hyperlink" Target="http://www.nevo.co.il/case/24263578" TargetMode="External"/><Relationship Id="rId22" Type="http://schemas.openxmlformats.org/officeDocument/2006/relationships/hyperlink" Target="http://www.nevo.co.il/case/24194196" TargetMode="External"/><Relationship Id="rId23" Type="http://schemas.openxmlformats.org/officeDocument/2006/relationships/hyperlink" Target="http://www.nevo.co.il/case/25842649" TargetMode="External"/><Relationship Id="rId24" Type="http://schemas.openxmlformats.org/officeDocument/2006/relationships/hyperlink" Target="http://www.nevo.co.il/case/2668608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" TargetMode="External"/><Relationship Id="rId27" Type="http://schemas.openxmlformats.org/officeDocument/2006/relationships/hyperlink" Target="http://www.nevo.co.il/case/21952264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2021-10-11T08:44:00Z</dcterms:created>
  <dc:creator> </dc:creator>
  <dc:description/>
  <cp:keywords/>
  <dc:language>en-IL</dc:language>
  <cp:lastModifiedBy>h1</cp:lastModifiedBy>
  <dcterms:modified xsi:type="dcterms:W3CDTF">2021-10-11T08:44:00Z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סנד מתאני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25940943;25824863;26492590;26888657;7791493;13093744;17954222;18086234;20723375;26964498;5878682;6949290;5950172;25612982;24263578;24194196;25842649;26686085;21952264</vt:lpwstr>
  </property>
  <property fmtid="{D5CDD505-2E9C-101B-9397-08002B2CF9AE}" pid="9" name="CITY">
    <vt:lpwstr>מרכז</vt:lpwstr>
  </property>
  <property fmtid="{D5CDD505-2E9C-101B-9397-08002B2CF9AE}" pid="10" name="DATE">
    <vt:lpwstr>20210112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70301/144.b;40jc</vt:lpwstr>
  </property>
  <property fmtid="{D5CDD505-2E9C-101B-9397-08002B2CF9AE}" pid="15" name="LAWYER">
    <vt:lpwstr>איריס פיקר;רומח שביט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52416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390020210112</vt:lpwstr>
  </property>
  <property fmtid="{D5CDD505-2E9C-101B-9397-08002B2CF9AE}" pid="34" name="TYPE_N_DATE">
    <vt:lpwstr>39020210112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