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5242-06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ולדיסלב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מוקי לנדמן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יוחובלי ולדיסלב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וינקלר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אלמוגי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לווי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Heading3"/>
        <w:numPr>
          <w:ilvl w:val="0"/>
          <w:numId w:val="2"/>
        </w:numPr>
        <w:spacing w:lineRule="auto" w:line="360" w:before="0" w:after="0"/>
        <w:ind w:hanging="720" w:start="1080" w:end="0"/>
        <w:jc w:val="both"/>
        <w:rPr>
          <w:b w:val="false"/>
          <w:bCs w:val="false"/>
          <w:sz w:val="24"/>
          <w:szCs w:val="24"/>
        </w:rPr>
      </w:pPr>
      <w:bookmarkStart w:id="6" w:name="ABSTRACT_START"/>
      <w:bookmarkEnd w:id="6"/>
      <w:r>
        <w:rPr>
          <w:b w:val="false"/>
          <w:b w:val="false"/>
          <w:bCs w:val="false"/>
          <w:sz w:val="24"/>
          <w:sz w:val="24"/>
          <w:szCs w:val="24"/>
          <w:rtl w:val="true"/>
        </w:rPr>
        <w:t>הנאשם הורשע על פי הודאתו בעבירה של החזקת סם  לצריכה עצמית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עבירות של החזקת כלי פריצה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עבירות של החזקת נכס החשוד כגנוב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עבירות של פריצה לרכב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עבירה של גניבה מרכב ועבירת גניבה</w:t>
      </w:r>
      <w:r>
        <w:rPr>
          <w:b w:val="false"/>
          <w:bCs w:val="false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כולן בין השנים </w:t>
      </w:r>
      <w:r>
        <w:rPr>
          <w:b w:val="false"/>
          <w:bCs w:val="false"/>
          <w:sz w:val="24"/>
          <w:szCs w:val="24"/>
        </w:rPr>
        <w:t>2005-2009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bookmarkStart w:id="7" w:name="ABSTRACT_END"/>
      <w:bookmarkEnd w:id="7"/>
      <w:r>
        <w:rPr>
          <w:sz w:val="26"/>
          <w:sz w:val="26"/>
          <w:rtl w:val="true"/>
        </w:rPr>
        <w:t xml:space="preserve">הנאשם החל את ההליך המשפטי בתיק העיקרי שבפני עוד בשנת </w:t>
      </w:r>
      <w:r>
        <w:rPr>
          <w:sz w:val="26"/>
        </w:rPr>
        <w:t>2006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וההליך בפני נדחה מעת לעת לאור רצון הנאשם לצרף תיקו בפני 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 קאפח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 ניתק את הקשר עם הסנגורית ולא הגיע לדיונים בפני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 גם בפני 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 קאפח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 xml:space="preserve">על כן ההליכים בפני הותלו בשנת </w:t>
      </w:r>
      <w:r>
        <w:rPr>
          <w:sz w:val="26"/>
        </w:rPr>
        <w:t>2007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 xml:space="preserve">וחודשו רק בסוף שנת </w:t>
      </w:r>
      <w:r>
        <w:rPr>
          <w:sz w:val="26"/>
        </w:rPr>
        <w:t>2009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 שהנאשם נעצר ונאסר בתיק בפני 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 קאפח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>במהלך אותו פרק זמן של התליית ההליכים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 חדל הנאשם מפעילות עבריינית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 המשיך לבצע עבירות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כעולה מהתיקים שצרף בפני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 xml:space="preserve">שתיים מהן בשנת </w:t>
      </w:r>
      <w:r>
        <w:rPr>
          <w:sz w:val="26"/>
        </w:rPr>
        <w:t>2009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>בנסיבות אלו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 ניתן לומר כלל כי אילו היה הנאשם מצרף תיקים אלו בפני 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 קאפח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 היה עונשו שונה משמעותית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עוד קשה לו לנאשם להלין על אחרים על כך שהתיקים לא צורפו בפני 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 קאפח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 שהליך הצירוף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 xml:space="preserve">אותו חפץ לבצע בשנת </w:t>
      </w:r>
      <w:r>
        <w:rPr>
          <w:sz w:val="26"/>
        </w:rPr>
        <w:t>2007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נקטע בשל העלמותו שלו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לכל האמור 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 xml:space="preserve">יש להוסיף את העובדה שמעל ראשו של הנאשם מרחף מאסר מותנה בן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שהוא חב הפעלה בתיקים שבפני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>מצד שני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 לתת משקל משמעותי להודאת 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החסכון בזמן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ובמיוחד העובדה שהוא נתון עתה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לדברי הסנגורית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בהליך משמעותי בין כותלי 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ס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וכי הוא נקי מסמים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יובהר כי אני מקבל טענות אלו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לאור דברי הסנגורית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 שנסיונות חוזרים ונשנים לקבל לכך אישור משב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ס לא עלו יפה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 xml:space="preserve">הצדדים הגיעו להסדר על פיו הגבילה עצמה המאשימה לעונש מאסר בן </w:t>
      </w:r>
      <w:r>
        <w:rPr>
          <w:sz w:val="26"/>
        </w:rPr>
        <w:t>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וזאת במצטבר לעונש אותו נושא הנאשם עתה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 xml:space="preserve">הסנגורית מבקשת לנהוג על פי הוראת </w:t>
      </w:r>
      <w:r>
        <w:rPr>
          <w:sz w:val="26"/>
        </w:rPr>
        <w:t>45</w:t>
      </w:r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 xml:space="preserve">)  </w:t>
      </w:r>
      <w:r>
        <w:rPr>
          <w:sz w:val="26"/>
          <w:sz w:val="26"/>
          <w:rtl w:val="true"/>
        </w:rPr>
        <w:t>ל</w:t>
      </w:r>
      <w:hyperlink r:id="rId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כך שהמאסר שיוטל על הנאשם היום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יחפוף את המאסר אותו הוא מרצה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בהתחשב בכל האמור 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אינני סבור שניתן להעתר לבקשת הסנגורית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 מצד שני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בהתחשב בהליך השיקומי אותו הוא עובר לא אצבור את כל תקופת המאסר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 רק את פרק הזמן בגינו תלוי ועומד נגדו המאסר המותנה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>לאור כל האמור 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 גוזר על הנאשם את העונשים הבאים</w:t>
      </w:r>
      <w:r>
        <w:rPr>
          <w:sz w:val="26"/>
          <w:rtl w:val="true"/>
        </w:rPr>
        <w:t>:</w:t>
      </w:r>
    </w:p>
    <w:p>
      <w:pPr>
        <w:pStyle w:val="BodyTextIndent"/>
        <w:tabs>
          <w:tab w:val="clear" w:pos="720"/>
          <w:tab w:val="left" w:pos="2340" w:leader="none"/>
        </w:tabs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b w:val="false"/>
          <w:bCs w:val="false"/>
          <w:sz w:val="24"/>
          <w:rtl w:val="true"/>
        </w:rPr>
        <w:t>.</w:t>
        <w:tab/>
      </w:r>
      <w:r>
        <w:rPr>
          <w:b w:val="false"/>
          <w:b w:val="false"/>
          <w:bCs w:val="false"/>
          <w:sz w:val="24"/>
          <w:sz w:val="24"/>
          <w:rtl w:val="true"/>
        </w:rPr>
        <w:t xml:space="preserve">מאסר לתקופה של </w:t>
      </w:r>
      <w:r>
        <w:rPr>
          <w:b w:val="false"/>
          <w:bCs w:val="false"/>
          <w:sz w:val="24"/>
        </w:rPr>
        <w:t>6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חודשים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BodyTextIndent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.</w:t>
        <w:tab/>
      </w:r>
      <w:r>
        <w:rPr>
          <w:b w:val="false"/>
          <w:b w:val="false"/>
          <w:bCs w:val="false"/>
          <w:rtl w:val="true"/>
        </w:rPr>
        <w:t xml:space="preserve">אני מפעיל את המאסר המותנה בן </w:t>
      </w:r>
      <w:r>
        <w:rPr>
          <w:b w:val="false"/>
          <w:bCs w:val="false"/>
        </w:rPr>
        <w:t>6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אשר הוטל על הנאשם ב</w:t>
      </w:r>
      <w:r>
        <w:rPr>
          <w:b w:val="false"/>
          <w:bCs w:val="false"/>
          <w:rtl w:val="true"/>
        </w:rPr>
        <w:t>-</w:t>
      </w:r>
      <w:hyperlink r:id="rId3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ת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.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 xml:space="preserve">. </w:t>
        </w:r>
        <w:r>
          <w:rPr>
            <w:rStyle w:val="Hyperlink"/>
            <w:b w:val="false"/>
            <w:bCs w:val="false"/>
            <w:color w:val="0000FF"/>
            <w:u w:val="single"/>
          </w:rPr>
          <w:t>2361/04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ביהמ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ש השלום בת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א 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ביום </w:t>
      </w:r>
      <w:r>
        <w:rPr>
          <w:b w:val="false"/>
          <w:bCs w:val="false"/>
        </w:rPr>
        <w:t>19.5.204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חודשיים ממנו במצטבר למאסר אשר הוטל על הנאשם היום והיתרה בחופף</w:t>
      </w:r>
      <w:r>
        <w:rPr>
          <w:b w:val="false"/>
          <w:bCs w:val="false"/>
          <w:rtl w:val="true"/>
        </w:rPr>
        <w:t>.</w:t>
      </w:r>
    </w:p>
    <w:p>
      <w:pPr>
        <w:pStyle w:val="BodyTextIndent"/>
        <w:tabs>
          <w:tab w:val="clear" w:pos="720"/>
          <w:tab w:val="left" w:pos="2340" w:leader="none"/>
        </w:tabs>
        <w:ind w:end="0"/>
        <w:jc w:val="both"/>
        <w:rPr>
          <w:sz w:val="24"/>
        </w:rPr>
      </w:pPr>
      <w:r>
        <w:rPr>
          <w:b w:val="false"/>
          <w:bCs w:val="false"/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סה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 xml:space="preserve">כ ישא הנאשם </w:t>
      </w:r>
      <w:r>
        <w:rPr>
          <w:sz w:val="28"/>
          <w:szCs w:val="26"/>
        </w:rPr>
        <w:t>8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 מאסר בפועל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 xml:space="preserve">מהם </w:t>
      </w:r>
      <w:r>
        <w:rPr>
          <w:sz w:val="28"/>
          <w:szCs w:val="26"/>
        </w:rPr>
        <w:t>6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חודשים במצטבר למאסר אותו נושא הנאשם היום והיתרה בחופף</w:t>
      </w:r>
      <w:r>
        <w:rPr>
          <w:sz w:val="28"/>
          <w:szCs w:val="26"/>
          <w:rtl w:val="true"/>
        </w:rPr>
        <w:t xml:space="preserve">. </w:t>
      </w:r>
    </w:p>
    <w:p>
      <w:pPr>
        <w:pStyle w:val="BodyTextIndent"/>
        <w:tabs>
          <w:tab w:val="clear" w:pos="720"/>
          <w:tab w:val="left" w:pos="2340" w:leader="none"/>
        </w:tabs>
        <w:ind w:end="0"/>
        <w:jc w:val="both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ג</w:t>
      </w:r>
      <w:r>
        <w:rPr>
          <w:b w:val="false"/>
          <w:bCs w:val="false"/>
          <w:sz w:val="24"/>
          <w:rtl w:val="true"/>
        </w:rPr>
        <w:t>.</w:t>
        <w:tab/>
      </w:r>
      <w:r>
        <w:rPr>
          <w:b w:val="false"/>
          <w:b w:val="false"/>
          <w:bCs w:val="false"/>
          <w:sz w:val="24"/>
          <w:sz w:val="24"/>
          <w:rtl w:val="true"/>
        </w:rPr>
        <w:t xml:space="preserve">מאסר למשך </w:t>
      </w:r>
      <w:r>
        <w:rPr>
          <w:b w:val="false"/>
          <w:bCs w:val="false"/>
          <w:sz w:val="24"/>
        </w:rPr>
        <w:t>8</w:t>
      </w:r>
      <w:r>
        <w:rPr>
          <w:b w:val="false"/>
          <w:bCs w:val="false"/>
          <w:sz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rtl w:val="true"/>
        </w:rPr>
        <w:t>חודשים ואולם הנאשם לא ישא עונש זה אלא באם תוך שנתיים יעבור עבירה בה הורשע</w:t>
      </w:r>
      <w:r>
        <w:rPr>
          <w:b w:val="false"/>
          <w:bCs w:val="false"/>
          <w:sz w:val="24"/>
          <w:rtl w:val="true"/>
        </w:rPr>
        <w:t xml:space="preserve">. </w:t>
      </w:r>
    </w:p>
    <w:p>
      <w:pPr>
        <w:pStyle w:val="BodyTextIndent"/>
        <w:tabs>
          <w:tab w:val="clear" w:pos="720"/>
          <w:tab w:val="left" w:pos="2340" w:leader="none"/>
        </w:tabs>
        <w:ind w:end="0"/>
        <w:jc w:val="both"/>
        <w:rPr>
          <w:b w:val="false"/>
          <w:bCs w:val="fals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 w:val="false"/>
          <w:b w:val="false"/>
          <w:bCs w:val="false"/>
          <w:rtl w:val="true"/>
        </w:rPr>
        <w:t xml:space="preserve">הנני פוסל את הנאשם מלקבל או להחזיק רשיון נהיגה למשך </w:t>
      </w:r>
      <w:r>
        <w:rPr>
          <w:b w:val="false"/>
          <w:bCs w:val="false"/>
        </w:rPr>
        <w:t>6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וזאת על תנאי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והתנאי הוא שמשך שנתיים מיום שחרורו לא יעבור עבירה בניגוד לפקודת הסמים</w:t>
      </w:r>
      <w:r>
        <w:rPr>
          <w:b w:val="false"/>
          <w:bCs w:val="false"/>
          <w:rtl w:val="true"/>
        </w:rPr>
        <w:t>.</w:t>
      </w:r>
    </w:p>
    <w:p>
      <w:pPr>
        <w:pStyle w:val="BodyTextIndent3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>הסם יושמד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start"/>
        <w:rPr>
          <w:sz w:val="26"/>
        </w:rPr>
      </w:pPr>
      <w:r>
        <w:rPr>
          <w:sz w:val="26"/>
          <w:sz w:val="26"/>
          <w:rtl w:val="true"/>
        </w:rPr>
        <w:t xml:space="preserve">מוצגים </w:t>
      </w:r>
      <w:r>
        <w:rPr>
          <w:sz w:val="26"/>
          <w:sz w:val="26"/>
          <w:rtl w:val="true"/>
        </w:rPr>
        <w:t>–</w:t>
      </w:r>
      <w:r>
        <w:rPr>
          <w:sz w:val="26"/>
          <w:sz w:val="26"/>
          <w:rtl w:val="true"/>
        </w:rPr>
        <w:t xml:space="preserve"> יחולטו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יושמדו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יושבו לבעליהם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 פי החלטת קצין משטרה</w:t>
      </w:r>
      <w:r>
        <w:rPr>
          <w:sz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 ערעור לביהמ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 xml:space="preserve">ש המחוזי תוך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 מהיום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מוקי לנדמן </w:t>
      </w:r>
      <w:r>
        <w:rPr>
          <w:color w:val="000000"/>
          <w:sz w:val="22"/>
          <w:szCs w:val="22"/>
        </w:rPr>
        <w:t>54678313-5242/06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מוקי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לנדמן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/Users/liorb/Downloads/study2025-p2/SH-06-5242-679.doc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5242-06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יוחובלי ולדיסלב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both"/>
    </w:pPr>
    <w:rPr>
      <w:rFonts w:ascii="Times New Roman" w:hAnsi="Times New Roman" w:eastAsia="Times New Roman" w:cs="Times New Roman"/>
      <w:b/>
      <w:bCs/>
      <w:sz w:val="20"/>
    </w:rPr>
  </w:style>
  <w:style w:type="paragraph" w:styleId="BodyTextIndent3">
    <w:name w:val="Body Text Indent 3"/>
    <w:basedOn w:val="Normal"/>
    <w:qFormat/>
    <w:pPr>
      <w:spacing w:lineRule="auto" w:line="360"/>
      <w:ind w:hanging="720" w:start="1440" w:end="0"/>
    </w:pPr>
    <w:rPr>
      <w:rFonts w:ascii="Times New Roman" w:hAnsi="Times New Roman" w:eastAsia="Times New Roman" w:cs="Times New Roman"/>
      <w:sz w:val="3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2361/04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2010-06-22T23:25:00Z</dcterms:created>
  <dc:creator> </dc:creator>
  <dc:description/>
  <cp:keywords/>
  <dc:language>en-IL</dc:language>
  <cp:lastModifiedBy>einat</cp:lastModifiedBy>
  <dcterms:modified xsi:type="dcterms:W3CDTF">2010-06-23T09:11:00Z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יוחובלי ולדיסלב</vt:lpwstr>
  </property>
  <property fmtid="{D5CDD505-2E9C-101B-9397-08002B2CF9AE}" pid="4" name="CITY">
    <vt:lpwstr>ת"א</vt:lpwstr>
  </property>
  <property fmtid="{D5CDD505-2E9C-101B-9397-08002B2CF9AE}" pid="5" name="DATE">
    <vt:lpwstr>20100622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מוקי לנדמן</vt:lpwstr>
  </property>
  <property fmtid="{D5CDD505-2E9C-101B-9397-08002B2CF9AE}" pid="9" name="LAWYER">
    <vt:lpwstr>וינקלר;אלמוגי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5242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5242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06 5242 679 htm</vt:lpwstr>
  </property>
  <property fmtid="{D5CDD505-2E9C-101B-9397-08002B2CF9AE}" pid="34" name="TYPE">
    <vt:lpwstr>3</vt:lpwstr>
  </property>
  <property fmtid="{D5CDD505-2E9C-101B-9397-08002B2CF9AE}" pid="35" name="TYPE_ABS_DATE">
    <vt:lpwstr>380020100622</vt:lpwstr>
  </property>
  <property fmtid="{D5CDD505-2E9C-101B-9397-08002B2CF9AE}" pid="36" name="TYPE_N_DATE">
    <vt:lpwstr>38020100622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