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64"/>
        <w:gridCol w:w="345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26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52626-07-15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מחאמיד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45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וינשטיין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מחאמיד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240" w:after="0"/>
        <w:ind w:hanging="720" w:start="720" w:end="0"/>
        <w:jc w:val="center"/>
        <w:rPr/>
      </w:pPr>
      <w:r>
        <w:rPr>
          <w:rtl w:val="true"/>
        </w:rPr>
      </w:r>
      <w:bookmarkStart w:id="2" w:name="LawTable"/>
      <w:bookmarkStart w:id="3" w:name="PsakDin"/>
      <w:bookmarkStart w:id="4" w:name="LawTable"/>
      <w:bookmarkStart w:id="5" w:name="PsakDin"/>
      <w:bookmarkEnd w:id="4"/>
      <w:bookmarkEnd w:id="5"/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24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 w:before="240" w:after="0"/>
        <w:ind w:hanging="720" w:start="720"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u w:val="single"/>
          <w:rtl w:val="true"/>
        </w:rPr>
        <w:t>פתח דבר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בעקבות הסדר טיעון אליו הגיעו הצדדים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בעובדות כתב האישום שהוגש בעניינו לבית משפט 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כתב האישום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הנאשם את צירופו של תיק תעבורה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ד </w:t>
        </w:r>
        <w:r>
          <w:rPr>
            <w:rStyle w:val="Hyperlink"/>
            <w:rFonts w:cs="Arial" w:ascii="Arial" w:hAnsi="Arial"/>
            <w:color w:val="0000FF"/>
            <w:u w:val="single"/>
          </w:rPr>
          <w:t>7002-03-15</w:t>
        </w:r>
      </w:hyperlink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תיק התעבורה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ולאחר צירופו הודה הנאשם גם בעובדות נשוא כתב האישום בתיק התעבורה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ניסיון שוד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היא העבירה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 הורשע הנאשם בעבירות נשוא תיק התעבורה שהן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עבירות של סטייה מנתיב נסיעה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תקנות התעבורה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תקנות התעבורה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נהיגה בקלות ראש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62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פקודת התעבורה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התנהגות שגרמה חבלה לגוף ונזק לרכוש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21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 התעבורה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נהיגה משמאל לקו הפרדה רצוף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36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 התעבורה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נהיגה ללא רישיון נהיגה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לפקודת התעבורה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אי עצירת רכב במקום תאונה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 התעבורה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אי מסירת פרטים לנפגע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 התעבורה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אי הגשת עזרה לנפגע בתאונה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 התעבורה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נהיגה ללא ביטוח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על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49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ביטוח רכב מנועי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פקודת ביטוח רכב מנועי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Arial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20.3.16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טיעוני באי כוח הצדדים לעניין העונש נשמעו ביום </w:t>
      </w:r>
      <w:r>
        <w:rPr>
          <w:rFonts w:cs="Arial" w:ascii="Arial" w:hAnsi="Arial"/>
        </w:rPr>
        <w:t>21.3.16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tl w:val="true"/>
        </w:rPr>
        <w:t xml:space="preserve">)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המחלק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החנות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ולחאלד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7.7.15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11:49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דייהו</w:t>
      </w:r>
      <w:r>
        <w:rPr>
          <w:rtl w:val="true"/>
        </w:rPr>
        <w:t xml:space="preserve">,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.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רוטשילד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סוזוקי</w:t>
      </w:r>
      <w:r>
        <w:rPr>
          <w:rtl w:val="true"/>
        </w:rPr>
        <w:t xml:space="preserve">,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ולנטינה</w:t>
      </w:r>
      <w:r>
        <w:rPr>
          <w:rtl w:val="true"/>
        </w:rPr>
        <w:t xml:space="preserve">) </w:t>
      </w:r>
      <w:r>
        <w:rPr>
          <w:rtl w:val="true"/>
        </w:rPr>
        <w:t>ונוסע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tl w:val="true"/>
        </w:rPr>
        <w:t xml:space="preserve">.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מזהב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להחלטתם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רוטשילד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והחנה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ולנטינה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ולגנבה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tl w:val="true"/>
        </w:rPr>
        <w:t xml:space="preserve">, </w:t>
      </w:r>
      <w:r>
        <w:rPr>
          <w:rtl w:val="true"/>
        </w:rPr>
        <w:t>נחנק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  <w:r>
        <w:rPr>
          <w:rtl w:val="true"/>
        </w:rPr>
        <w:t>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ואדמומיות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התעבורה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23.11.13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95-686-08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סיטרי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נתיבי</w:t>
      </w:r>
      <w:r>
        <w:rPr>
          <w:rtl w:val="true"/>
        </w:rPr>
        <w:t xml:space="preserve">,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.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79-642-27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התאונה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הצעירות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6.12.14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tl w:val="true"/>
        </w:rPr>
        <w:t>-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הנפילה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ומגמתה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להצטברותן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16.7.15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30.11.15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16.7.15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30.11.15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מצפונו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מצפונו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3338/13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טחימר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סלע</w:t>
      </w:r>
      <w:r>
        <w:rPr>
          <w:rtl w:val="true"/>
        </w:rPr>
        <w:t xml:space="preserve">)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טחימר</w:t>
      </w:r>
      <w:r>
        <w:rPr>
          <w:u w:val="single"/>
          <w:rtl w:val="true"/>
        </w:rPr>
        <w:t>)</w:t>
      </w:r>
      <w:r>
        <w:rPr>
          <w:rtl w:val="true"/>
        </w:rPr>
        <w:t xml:space="preserve"> 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12-24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התעבורה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שעניינו הבניית שיקול הדעת השיפוטי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העיקרון המנחה בענישה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הוא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נדרש כי יתקיים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</w:t>
      </w:r>
      <w:r>
        <w:rPr>
          <w:rtl w:val="true"/>
        </w:rPr>
        <w:t>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רשימה של 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בהתקיימן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בהתקיים חלק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להשפיע על קביעת חומרת מעשה העבירה ועל אשמו של הנאשם ובכך על קביעת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ברשימה זו נכללת הנסיבה של תכנון שקדם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היחסי של הנאשם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שהיה צפוי להיגרם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שנגרם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הסיבות שהביאו את הנאשם לבצע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להבין את אשר הוא עושה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שבמעשהו או את משמעותו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להימנע ממעשה העבירה ומידת השליטה שלו על מעשהו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והקרבה לסייג של אחריות פלילית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>.</w:t>
        <w:tab/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מתייחס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לפיהן ייקבע עונשו הספציפי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נסיבות אלו נמנות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של פגיעת העונש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העונש בבני משפחתו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שנגרמו לנאשם מביצוע העבירה ומהרשעתו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 על ידי הנאשם על מעשיו וחזרתו למוטב או מאמציו לחזור למוטב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רשויות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חיים קשות של הנאשם שהיתה להן השפעה על ביצוע מעשה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עברו הפלילי של הנאשם או העדר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חריגה ממתחם העונש ההולם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לקולא או לחומרא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אפשרית בנסיבות הקבועות 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 שיקום</w:t>
      </w:r>
      <w:r>
        <w:rPr>
          <w:rFonts w:cs="Arial" w:ascii="Arial" w:hAnsi="Arial"/>
          <w:rtl w:val="true"/>
        </w:rPr>
        <w:t xml:space="preserve">,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משיקולים של הגנה על שלום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השלב הראשון במלאכתו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הוראות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בקביעה האם הרשעת הנאשם במספר עבירות מהווה אירוע אחד או 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ביחס אליהם נדרשת קביעה של מתחם ענישה 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לאחר מכן יקבע בית המשפט את מתחם העונש בהתאם לעקרון ההלימה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ובשלב האחרון יתייחס בית המשפט לנסיבות שאינן קשורות לעבירה ולנסיבות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לנסיבות האישיות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במקרה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דומני כי לא יכולה להיות מחלוקת כי מדובר בשני אירועים נפרדים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אירוע ניסיון השוד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tl w:val="true"/>
        </w:rPr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להוראות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ייקבע במסגרת גזר דין זה מתחם ענישה 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ניתן לגזור עונש נפרד לכל אירוע או עונש כולל לאירועים כולם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ההולמים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ניסיון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מחמירות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, </w:t>
      </w:r>
      <w:r>
        <w:rPr>
          <w:rtl w:val="true"/>
        </w:rPr>
        <w:t>המגלם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". </w:t>
      </w:r>
      <w:r>
        <w:rPr>
          <w:rFonts w:ascii="Arial" w:hAnsi="Arial" w:cs="Arial"/>
          <w:rtl w:val="true"/>
        </w:rPr>
        <w:t>עבירות אלימות כאלו המכוונות כלפי קשישים חברי ישע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בעלות פוטנציאל נזק ניכר לפגיעה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להתעלם גם מן הפגיעה בכבודו ובטחונו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נרמסו באחת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ההלכה הפסוקה הביעה בשורה של פסקי דין את עמדתה החד משמעית באשר לצורך להחמיר בעונשם של מבצעי מעשי שוד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כאשר הם מבוצעים כלפי קשישים וחסרי ישע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נא ראו לעניין זה דברי כבוד השופט 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עמית ב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1864/11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עזיז דוידוב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פורסם בנבו </w:t>
      </w:r>
      <w:r>
        <w:rPr>
          <w:rFonts w:cs="Arial" w:ascii="Arial" w:hAnsi="Arial"/>
        </w:rPr>
        <w:t>7.11.12</w:t>
      </w:r>
      <w:r>
        <w:rPr>
          <w:rFonts w:cs="Arial" w:ascii="Arial" w:hAnsi="Arial"/>
          <w:rtl w:val="true"/>
        </w:rPr>
        <w:t>]:</w:t>
      </w:r>
    </w:p>
    <w:p>
      <w:pPr>
        <w:pStyle w:val="Ruller42"/>
        <w:spacing w:before="0" w:after="240"/>
        <w:ind w:hanging="1440" w:start="1440" w:end="0"/>
        <w:jc w:val="both"/>
        <w:rPr/>
      </w:pPr>
      <w:r>
        <w:rPr>
          <w:rFonts w:cs="David" w:ascii="Arial" w:hAnsi="Arial"/>
          <w:sz w:val="24"/>
          <w:szCs w:val="24"/>
          <w:rtl w:val="true"/>
        </w:rPr>
        <w:tab/>
        <w:tab/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גניבה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ומחסר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נתפס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כיעור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גדול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רגילה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גניבה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בהיותו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הציווי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והדרת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זקן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הנתפס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אנושית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ובזוי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העברייני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נחשבת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הנמצאת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בתחתית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שרשרת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המזון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העבריינים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Ruller42"/>
        <w:spacing w:before="0" w:after="24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2"/>
        <w:spacing w:before="0" w:after="240"/>
        <w:ind w:hanging="1440" w:start="144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האימה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הפחד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הבושת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והצער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המתגורר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בגפו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שנפל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קורבן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וגניבה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חסר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כוחו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צעיר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שיכול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לעיתים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להתגונן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לרדוף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הגנב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השודד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לשער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התחושה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המתסכלת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השפלה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וחוסר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שנפל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קרבן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כגון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דא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מלמד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איכות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גניבה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כתמול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שלשום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שאורחות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השתנו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והתהפכו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בעקבות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אירוע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טראומטי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גניבה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שלהוותם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נוכחו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מבצרם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תופעות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חוסר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והסתגרות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התבצרות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פיזית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סורגים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ומנעולים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חשש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אבדן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ביטחון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נדודי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תופעות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והשלכות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המשפיעות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משפחתו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מכאן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הסלידה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ביחס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לשוד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וגניבה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מקשישים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מכאן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החומרה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שבתי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מייחסים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בהיבט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גמול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והלימה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</w:r>
      <w:r>
        <w:rPr>
          <w:rFonts w:cs="David"/>
          <w:b/>
          <w:bCs/>
          <w:sz w:val="24"/>
          <w:szCs w:val="24"/>
          <w:rtl w:val="true"/>
        </w:rPr>
        <w:t>...</w:t>
      </w:r>
    </w:p>
    <w:p>
      <w:pPr>
        <w:pStyle w:val="Ruller42"/>
        <w:spacing w:before="0" w:after="240"/>
        <w:ind w:hanging="1440" w:start="1440" w:end="0"/>
        <w:jc w:val="both"/>
        <w:rPr/>
      </w:pPr>
      <w:r>
        <w:rPr>
          <w:rFonts w:cs="David"/>
          <w:b/>
          <w:bCs/>
          <w:sz w:val="24"/>
          <w:szCs w:val="24"/>
          <w:rtl w:val="true"/>
        </w:rPr>
        <w:tab/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בגניבה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להסתבכות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בהרבה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שמוכיח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הטעם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בבחינת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גולגולת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דקה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מבחינת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התוצאות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האפשריות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הורתה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לכאורה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סופה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ישורנו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מטעם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ניצבים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המשמר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בפסיקה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שמתריעים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ומתריאים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באצבע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זקורה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תשלחו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ידיכם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יאונה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תיפול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התוצאה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לפתחכם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1044/13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זידאן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29.10.13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tl w:val="true"/>
        </w:rPr>
        <w:t xml:space="preserve">: </w:t>
      </w:r>
      <w:r>
        <w:rPr>
          <w:rtl w:val="true"/>
        </w:rPr>
        <w:t xml:space="preserve"> </w:t>
        <w:tab/>
      </w:r>
    </w:p>
    <w:p>
      <w:pPr>
        <w:pStyle w:val="Normal"/>
        <w:spacing w:lineRule="auto" w:line="360" w:before="0" w:after="240"/>
        <w:ind w:start="1417" w:end="0"/>
        <w:jc w:val="both"/>
        <w:rPr>
          <w:b/>
          <w:bCs/>
        </w:rPr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והקשיש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הפושעים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b/>
          <w:bCs/>
          <w:rtl w:val="true"/>
        </w:rPr>
        <w:t xml:space="preserve">...". </w:t>
      </w:r>
    </w:p>
    <w:p>
      <w:pPr>
        <w:pStyle w:val="Normal"/>
        <w:tabs>
          <w:tab w:val="clear" w:pos="720"/>
          <w:tab w:val="left" w:pos="8363" w:leader="none"/>
          <w:tab w:val="left" w:pos="8505" w:leader="none"/>
        </w:tabs>
        <w:spacing w:lineRule="auto" w:line="360" w:before="0" w:after="240"/>
        <w:ind w:start="720" w:end="-567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זידאן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ודוקו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וסולברג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והמוסרית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שכמותה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גוברת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rtl w:val="true"/>
        </w:rPr>
        <w:t>נא ראו לעניין זה גם</w:t>
      </w:r>
      <w:r>
        <w:rPr>
          <w:rFonts w:cs="Arial" w:ascii="Arial" w:hAnsi="Arial"/>
          <w:rtl w:val="true"/>
        </w:rPr>
        <w:t xml:space="preserve">: </w:t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2946/12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יוסף ברונסקי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4.3.13</w:t>
      </w:r>
      <w:r>
        <w:rPr>
          <w:rFonts w:cs="Arial" w:ascii="Arial" w:hAnsi="Arial"/>
          <w:rtl w:val="true"/>
        </w:rPr>
        <w:t>];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5090/99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שמשונוב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30.11.99</w:t>
      </w:r>
      <w:r>
        <w:rPr>
          <w:rFonts w:cs="Arial" w:ascii="Arial" w:hAnsi="Arial"/>
          <w:rtl w:val="true"/>
        </w:rPr>
        <w:t>];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4921/11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דלאשה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9.7.12</w:t>
      </w:r>
      <w:r>
        <w:rPr>
          <w:rFonts w:cs="Arial" w:ascii="Arial" w:hAnsi="Arial"/>
          <w:rtl w:val="true"/>
        </w:rPr>
        <w:t>];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2163/05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אלייב נק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בנוב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12.12.05</w:t>
      </w:r>
      <w:r>
        <w:rPr>
          <w:rFonts w:cs="Arial" w:ascii="Arial" w:hAnsi="Arial"/>
          <w:rtl w:val="true"/>
        </w:rPr>
        <w:t>];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5467/12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חוסיין</w:t>
      </w:r>
      <w:r>
        <w:rPr>
          <w:rFonts w:cs="Arial" w:ascii="Arial" w:hAnsi="Arial"/>
          <w:rtl w:val="true"/>
        </w:rPr>
        <w:t>,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22.10.12</w:t>
      </w:r>
      <w:r>
        <w:rPr>
          <w:rFonts w:cs="Arial" w:ascii="Arial" w:hAnsi="Arial"/>
          <w:rtl w:val="true"/>
        </w:rPr>
        <w:t>].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לתת את הדעת לעובדה כי לביצוע העבירה קדם תכנון מוקדם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ושותפו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חאלד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הכירו את המתלונן בהיותו לקוח בחנות הירקות בה עבדו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זממו לשדוד את שרשרשת הזהב שהיתה על צווארו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לתת את הדעת לעובדה כי מהיכרותם המוקדמת של הנאשם  וחאלד את המתלונן מן הסתם היו מודעים לגילו המתקדם של המתלונן וחולשתו הגופנית והחליטו לנצלה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וחאלד עקבו אחרי המתלונן ברכבו של חאלד עד לחניית ביתו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וכשיצא מן הרכב כדי לעלות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התנפל עליו הנאשם מאחור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בשרשרת הזהב ומשך אותה בכוח רב על מנת לתלוש אותה מצווארו ולגנוב אותה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ממשיכתו של הנאשם את השרשרת גרם הוא לחניקתו של המתלונן ולנפילתו אפיים ארצה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בכך לא נעצר הנאשם והמשיך למשוך בכוח את השרשרת מצווארו של המתלונן בעודו שרוע על הרצפה וזועק לעזרה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וחאלד נמלטו מן המקום ברכבו של חאלד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שהנאשם הצליח לתלוש את השרשרת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זאת רק בשל כך שצעקות העזרה של המתלונן החישו חזרה את ולנטינה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שנכנסה לבניין טרם האירוע ונחלצה לעזרת המתלונן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כך על פי הסרטון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שהוצג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הנזק הפיזי שנגרם בפועל למתלונן לא היה רב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אך ללא ספק שפוטנציאל הנזק שיכול היה להיגרם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קשיש בן </w:t>
      </w:r>
      <w:r>
        <w:rPr>
          <w:rFonts w:cs="Arial" w:ascii="Arial" w:hAnsi="Arial"/>
        </w:rPr>
        <w:t>93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ניכר ומשמעותי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חלקו של הנאשם בביצוע העבירה הינו מרכזי ועיקרי בהיותו זה שיצא מן הרכב של חאלד וביצע את תקיפתו הפיזית של המתלונן תוך משיכת השרשרת מצווארו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הפלתו ארצה והמשך הפעלת כוח פיזי במשיכת השרשרת על אף היות המתלונן שרוע על הארץ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אם התכנון המקורי של העבירה נבע מחאלד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שהנאשם שיתף עימו פעולה לכל אורך הדרך וביצע את ניסיון השוד כאמור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הינו 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הבין היטב את משמעות מעשיו ואת הפסול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כי טען כי נעשו מתוך מצוקה כלכלי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לקבל טענה שכזו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השתמע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>.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hyperlink r:id="rId7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7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פטור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spacing w:before="0" w:after="240"/>
        <w:ind w:hanging="144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  <w:tab/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שניסה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לעבור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יישא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באחריות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פלילית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לנסיון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הוכיח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שמחפץ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ומתוך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חרטה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מהשלמת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תרומה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למניעת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התוצאות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שבהן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מותנית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ואולם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באמור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לגרוע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מאחריותו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מושלמת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שבמעשה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>"</w:t>
      </w:r>
    </w:p>
    <w:p>
      <w:pPr>
        <w:pStyle w:val="Ruller42"/>
        <w:tabs>
          <w:tab w:val="clear" w:pos="720"/>
        </w:tabs>
        <w:spacing w:before="0" w:after="24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דומני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להתקיימותו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אינני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בהתנהלותו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כהתנהלות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המשיך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במשיכה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השרשרת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מצווארו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ארצה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לדיסק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ולטינה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השרשרת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ונמלט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שיבוש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התוכנית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לשדידתו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היחלצותה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ולנטינה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המואשם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והנמלט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שיבוש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להיחשב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התקרב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לסייג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Ruller42"/>
        <w:tabs>
          <w:tab w:val="clear" w:pos="720"/>
        </w:tabs>
        <w:spacing w:before="0" w:after="24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גורם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ולנטינה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שהשפיע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ומניעתו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חפץ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משהו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חפץ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השפיעו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מנעו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תוצאותיה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באי כוח שני הצדדים הפנו לפסיקה אשר דנה בעניינם של נאשמים שהורשעו בעבירות שוד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לפסיקה המשקפת לפי עמדתו את מידת העונש שיש להטיל על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בפסיקה קיימת קשת מגוונת של מעשי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הנבדלים זה מזה בנסיבותיהם ובדרגת חומרתם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הענישה ייקבע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לנסיבות הספציפיות של מעשה השוד וחומרתו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נא ראו לעניין זה</w:t>
      </w:r>
      <w:r>
        <w:rPr>
          <w:rFonts w:cs="Arial" w:ascii="Arial" w:hAnsi="Arial"/>
          <w:rtl w:val="true"/>
        </w:rPr>
        <w:t xml:space="preserve">: </w:t>
      </w:r>
      <w:hyperlink r:id="rId7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4841/13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ספי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פורסם בנבו </w:t>
      </w:r>
      <w:r>
        <w:rPr>
          <w:rFonts w:cs="Arial" w:ascii="Arial" w:hAnsi="Arial"/>
        </w:rPr>
        <w:t>6.2.14</w:t>
      </w:r>
      <w:r>
        <w:rPr>
          <w:rFonts w:cs="Arial" w:ascii="Arial" w:hAnsi="Arial"/>
          <w:rtl w:val="true"/>
        </w:rPr>
        <w:t>]:</w:t>
      </w:r>
    </w:p>
    <w:p>
      <w:pPr>
        <w:pStyle w:val="Normal"/>
        <w:spacing w:lineRule="auto" w:line="360" w:before="0" w:after="24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כנודע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לובשת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Fonts w:ascii="Century" w:hAnsi="Century" w:cs="Century"/>
          <w:b/>
          <w:b/>
          <w:bCs/>
          <w:rtl w:val="true"/>
        </w:rPr>
        <w:t>בבלי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חולין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אקראית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ספונטנית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בחבורה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לראיה</w:t>
      </w:r>
      <w:r>
        <w:rPr>
          <w:b/>
          <w:bCs/>
          <w:rtl w:val="true"/>
        </w:rPr>
        <w:t>" (</w:t>
      </w:r>
      <w:r>
        <w:rPr>
          <w:rFonts w:ascii="Century" w:hAnsi="Century" w:cs="Century"/>
          <w:b/>
          <w:b/>
          <w:bCs/>
          <w:rtl w:val="true"/>
        </w:rPr>
        <w:t>בבלי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פסחים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ס</w:t>
      </w:r>
      <w:r>
        <w:rPr>
          <w:rFonts w:cs="Century" w:ascii="Century" w:hAnsi="Century"/>
          <w:b/>
          <w:bCs/>
          <w:rtl w:val="true"/>
        </w:rPr>
        <w:t xml:space="preserve">' </w:t>
      </w:r>
      <w:r>
        <w:rPr>
          <w:rFonts w:ascii="Century" w:hAnsi="Century" w:cs="Century"/>
          <w:b/>
          <w:b/>
          <w:bCs/>
          <w:rtl w:val="true"/>
        </w:rPr>
        <w:t>ג</w:t>
      </w:r>
      <w:r>
        <w:rPr>
          <w:rFonts w:cs="Century" w:ascii="Century" w:hAnsi="Century"/>
          <w:b/>
          <w:bCs/>
          <w:rtl w:val="true"/>
        </w:rPr>
        <w:t>'</w:t>
      </w:r>
      <w:r>
        <w:rPr>
          <w:rFonts w:ascii="Century" w:hAnsi="Century" w:cs="Century"/>
          <w:b/>
          <w:b/>
          <w:bCs/>
          <w:rtl w:val="true"/>
        </w:rPr>
        <w:t>ובראן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ספונטניות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8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7655/12</w:t>
        </w:r>
      </w:hyperlink>
      <w:r>
        <w:rPr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פייסל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נ</w:t>
      </w:r>
      <w:r>
        <w:rPr>
          <w:rFonts w:cs="Century" w:ascii="Century" w:hAnsi="Century"/>
          <w:b/>
          <w:bCs/>
          <w:rtl w:val="true"/>
        </w:rPr>
        <w:t xml:space="preserve">' </w:t>
      </w:r>
      <w:r>
        <w:rPr>
          <w:rFonts w:ascii="Century" w:hAnsi="Century" w:cs="Century"/>
          <w:b/>
          <w:b/>
          <w:bCs/>
          <w:rtl w:val="true"/>
        </w:rPr>
        <w:t>מדינת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מתוכנן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ויזום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8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217/13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); </w:t>
      </w:r>
      <w:hyperlink r:id="rId8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2557/13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rtl w:val="true"/>
        </w:rPr>
        <w:t>לזר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); </w:t>
      </w:r>
      <w:hyperlink r:id="rId8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4835/12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כוהנישווילי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>)).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עסקינן בניסיון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בוצע בנסיבות מחמירות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בצוותא חדא עם חאלד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קדם לו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כנגד קשיש בן </w:t>
      </w:r>
      <w:r>
        <w:rPr>
          <w:rFonts w:cs="Arial" w:ascii="Arial" w:hAnsi="Arial"/>
        </w:rPr>
        <w:t>93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חלש וחסר ישע אשר נחנק ממשיכת השרשרת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הופל ארצה ונחבל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40" w:after="240"/>
        <w:ind w:hanging="720" w:start="720" w:end="0"/>
        <w:jc w:val="both"/>
        <w:rPr/>
      </w:pPr>
      <w:r>
        <w:rPr>
          <w:rtl w:val="true"/>
        </w:rPr>
        <w:tab/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7655/12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פיסל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4.4.13</w:t>
      </w:r>
      <w:r>
        <w:rPr>
          <w:rtl w:val="true"/>
        </w:rPr>
        <w:t>];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Arial" w:hAnsi="Arial" w:cs="Arial"/>
        </w:rPr>
      </w:pPr>
      <w:r>
        <w:rPr>
          <w:rtl w:val="true"/>
        </w:rPr>
        <w:tab/>
      </w:r>
      <w:hyperlink r:id="rId8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40958-06-14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בלילאת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4.1.15</w:t>
      </w:r>
      <w:r>
        <w:rPr>
          <w:rtl w:val="true"/>
        </w:rPr>
        <w:t>];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hyperlink r:id="rId8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17331-11-13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קלימנקו</w:t>
      </w:r>
      <w:r>
        <w:rPr>
          <w:rFonts w:cs="Arial" w:ascii="Arial" w:hAnsi="Arial"/>
          <w:rtl w:val="true"/>
        </w:rPr>
        <w:t>,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14.8.14</w:t>
      </w:r>
      <w:r>
        <w:rPr>
          <w:rFonts w:cs="Arial" w:ascii="Arial" w:hAnsi="Arial"/>
          <w:rtl w:val="true"/>
        </w:rPr>
        <w:t>];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hyperlink r:id="rId8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51010-02-14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חטיב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9.9.14</w:t>
      </w:r>
      <w:r>
        <w:rPr>
          <w:rFonts w:cs="Arial" w:ascii="Arial" w:hAnsi="Arial"/>
          <w:rtl w:val="true"/>
        </w:rPr>
        <w:t>];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hyperlink r:id="rId8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9343-07-14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23.12.14</w:t>
      </w:r>
      <w:r>
        <w:rPr>
          <w:rFonts w:cs="Arial" w:ascii="Arial" w:hAnsi="Arial"/>
          <w:rtl w:val="true"/>
        </w:rPr>
        <w:t>]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האירוע של עבירות התעבורה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הערכים המוגנים הנפגעים כתוצאה מביצוע עבירות התעבורה נשוא כתב האישום הם הערכים של שמירה על חיי אדם והגנה על שלטון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נהג ללא רישיון 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עבירה על חוקי התנועה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פזיז ובלתי זהיר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גרם לתאונה ולפגיעה ברכב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בנהגת ובנוסעים עמה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טרח לעצור ולבדוק את הפגיעה שנגרמה ונמלט מן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מדובר בעבירות חמורות אשר מצדיקות ענישה הולמת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למתחם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העבירות נשוא תיק התעבורה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הסכים כי זהו מתחם העונש ההולם בנסיבות העניין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שבחנתי את טענות הצדדים ואת מדיניות הענישה הנוהגת אני קובעת כי אכן מתחם הענישה הנוהג בעבירות תעבורה דוגמת העבירות נשוא תיק התעבורה שבפני 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בליווית עונשי פסילה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פסילה ומאסר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Ruller43"/>
        <w:numPr>
          <w:ilvl w:val="0"/>
          <w:numId w:val="0"/>
        </w:numPr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58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תעשה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8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9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</w:t>
      </w:r>
      <w:r>
        <w:rPr>
          <w:rFonts w:cs="David"/>
          <w:sz w:val="24"/>
          <w:sz w:val="24"/>
          <w:szCs w:val="24"/>
          <w:rtl w:val="true"/>
        </w:rPr>
        <w:t>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יילקחו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59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בבואי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הודייתו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שהביאה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לחיסכון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וגלומה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נטילת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הסליחה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שביקש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מהמתלונן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ונתתי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שתוארו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ולהירתם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שיכניס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למסלול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הנכון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60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ורכוש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מלחזור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ולבצע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spacing w:before="0" w:after="240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ולהעדר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חלופת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הקהילה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שעשויות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והתנהגות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פועלים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16.7.15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30.11.15</w:t>
      </w:r>
      <w:r>
        <w:rPr>
          <w:rtl w:val="true"/>
        </w:rPr>
        <w:t xml:space="preserve"> (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rFonts w:ascii="Arial" w:hAnsi="Arial" w:cs="Aria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מורה על פסילת הנאשם מלקבל או להחזיק רישיון נהיגה לתקופה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החל מתום תקופת מאסרו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העובדה כי אין בידי הנאשם רישיון 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פטור הוא מהפקדת רישיון במזכירות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פיצוי כספי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ניסים קטלן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אשר יופקד על ידי הנאשם בקופת בית המשפט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בסך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1.7.16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ככל שלא ישולם תשלום כלשהו מתשלומי הפיצוי במועדו ובמלואו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יעמוד כל הסכום לפירעון מיידי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על ידי הנאשם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בסך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ביום </w:t>
      </w:r>
      <w:r>
        <w:rPr>
          <w:rFonts w:cs="Arial" w:ascii="Arial" w:hAnsi="Arial"/>
        </w:rPr>
        <w:t>1.9.16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לתשלום מלוא הקנס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ישולמו שני תשלומים במועדם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יעמוד כל סכום הקנס לתשלום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נוכח הבעת רצונו של הנאשם כי יתאפשר לו להיכנס להליך של טיפול במסגרת כותלי בית הכלא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חזקה על  שירות בתי הסוהר כי יעשה כל שניתן על מנת לשלב   את הנאשם בהקדם האפשרי במסגרת טיפולית מתאימה בין כותלי הכלא במהלך תקופת מאסרו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זאת ככל שהנאשם ישתף פעולה ויימצא מתאים לכך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דן אסלנוב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ובנוכחות </w:t>
      </w:r>
      <w:r>
        <w:rPr>
          <w:rFonts w:ascii="Arial" w:hAnsi="Arial" w:cs="Arial"/>
          <w:rtl w:val="true"/>
        </w:rPr>
        <w:t>הנאשם באמצעות הליווי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התייצבות מטעם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בשל עיצומי הפרקליטות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24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before="0" w:after="24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וינשטיין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52626-07-15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" w:hAnsi="Arial TUR" w:cs="Arial TUR"/>
      <w:spacing w:val="10"/>
      <w:sz w:val="28"/>
      <w:lang w:bidi="he-IL"/>
    </w:rPr>
  </w:style>
  <w:style w:type="character" w:styleId="Ruller41">
    <w:name w:val="Ruller4 אלפביתי תו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0"/>
      <w:lang w:val="en-US"/>
    </w:rPr>
  </w:style>
  <w:style w:type="paragraph" w:styleId="Ruller43">
    <w:name w:val="Ruller4 אלפביתי"/>
    <w:basedOn w:val="Normal"/>
    <w:next w:val="Normal"/>
    <w:qFormat/>
    <w:pPr>
      <w:numPr>
        <w:ilvl w:val="0"/>
        <w:numId w:val="1"/>
      </w:num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8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i.b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3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70301/f40e" TargetMode="External"/><Relationship Id="rId16" Type="http://schemas.openxmlformats.org/officeDocument/2006/relationships/hyperlink" Target="http://www.nevo.co.il/law/74274" TargetMode="External"/><Relationship Id="rId17" Type="http://schemas.openxmlformats.org/officeDocument/2006/relationships/hyperlink" Target="http://www.nevo.co.il/law/74274/21.b.2" TargetMode="External"/><Relationship Id="rId18" Type="http://schemas.openxmlformats.org/officeDocument/2006/relationships/hyperlink" Target="http://www.nevo.co.il/law/74274/36.c" TargetMode="External"/><Relationship Id="rId19" Type="http://schemas.openxmlformats.org/officeDocument/2006/relationships/hyperlink" Target="http://www.nevo.co.il/law/74274/40.a" TargetMode="External"/><Relationship Id="rId20" Type="http://schemas.openxmlformats.org/officeDocument/2006/relationships/hyperlink" Target="http://www.nevo.co.il/law/74274/144.a.1" TargetMode="External"/><Relationship Id="rId21" Type="http://schemas.openxmlformats.org/officeDocument/2006/relationships/hyperlink" Target="http://www.nevo.co.il/law/74274/144.a.2" TargetMode="External"/><Relationship Id="rId22" Type="http://schemas.openxmlformats.org/officeDocument/2006/relationships/hyperlink" Target="http://www.nevo.co.il/law/74274/144.a.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10.a" TargetMode="External"/><Relationship Id="rId25" Type="http://schemas.openxmlformats.org/officeDocument/2006/relationships/hyperlink" Target="http://www.nevo.co.il/law/5227/38.1" TargetMode="External"/><Relationship Id="rId26" Type="http://schemas.openxmlformats.org/officeDocument/2006/relationships/hyperlink" Target="http://www.nevo.co.il/law/5227/38.2" TargetMode="External"/><Relationship Id="rId27" Type="http://schemas.openxmlformats.org/officeDocument/2006/relationships/hyperlink" Target="http://www.nevo.co.il/law/5227/62.2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law/74501/2.a" TargetMode="External"/><Relationship Id="rId30" Type="http://schemas.openxmlformats.org/officeDocument/2006/relationships/hyperlink" Target="http://www.nevo.co.il/law/74501/2.b" TargetMode="External"/><Relationship Id="rId31" Type="http://schemas.openxmlformats.org/officeDocument/2006/relationships/hyperlink" Target="http://www.nevo.co.il/case/20195750" TargetMode="External"/><Relationship Id="rId32" Type="http://schemas.openxmlformats.org/officeDocument/2006/relationships/hyperlink" Target="http://www.nevo.co.il/law/70301/402.b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4274/40.a" TargetMode="External"/><Relationship Id="rId37" Type="http://schemas.openxmlformats.org/officeDocument/2006/relationships/hyperlink" Target="http://www.nevo.co.il/law/74274" TargetMode="External"/><Relationship Id="rId38" Type="http://schemas.openxmlformats.org/officeDocument/2006/relationships/hyperlink" Target="http://www.nevo.co.il/law/5227/62.2" TargetMode="External"/><Relationship Id="rId39" Type="http://schemas.openxmlformats.org/officeDocument/2006/relationships/hyperlink" Target="http://www.nevo.co.il/law/5227/38.2" TargetMode="External"/><Relationship Id="rId40" Type="http://schemas.openxmlformats.org/officeDocument/2006/relationships/hyperlink" Target="http://www.nevo.co.il/law/5227" TargetMode="External"/><Relationship Id="rId41" Type="http://schemas.openxmlformats.org/officeDocument/2006/relationships/hyperlink" Target="http://www.nevo.co.il/law/74274/21.b.2" TargetMode="External"/><Relationship Id="rId42" Type="http://schemas.openxmlformats.org/officeDocument/2006/relationships/hyperlink" Target="http://www.nevo.co.il/law/74274/36.c" TargetMode="External"/><Relationship Id="rId43" Type="http://schemas.openxmlformats.org/officeDocument/2006/relationships/hyperlink" Target="http://www.nevo.co.il/law/5227/10.a" TargetMode="External"/><Relationship Id="rId44" Type="http://schemas.openxmlformats.org/officeDocument/2006/relationships/hyperlink" Target="http://www.nevo.co.il/law/5227/38.1" TargetMode="External"/><Relationship Id="rId45" Type="http://schemas.openxmlformats.org/officeDocument/2006/relationships/hyperlink" Target="http://www.nevo.co.il/law/74274/144.a.1" TargetMode="External"/><Relationship Id="rId46" Type="http://schemas.openxmlformats.org/officeDocument/2006/relationships/hyperlink" Target="http://www.nevo.co.il/law/74274/144.a.3" TargetMode="External"/><Relationship Id="rId47" Type="http://schemas.openxmlformats.org/officeDocument/2006/relationships/hyperlink" Target="http://www.nevo.co.il/law/74274/144.a.2" TargetMode="External"/><Relationship Id="rId48" Type="http://schemas.openxmlformats.org/officeDocument/2006/relationships/hyperlink" Target="http://www.nevo.co.il/law/74501/2.a" TargetMode="External"/><Relationship Id="rId49" Type="http://schemas.openxmlformats.org/officeDocument/2006/relationships/hyperlink" Target="http://www.nevo.co.il/law/74501/2.b" TargetMode="External"/><Relationship Id="rId50" Type="http://schemas.openxmlformats.org/officeDocument/2006/relationships/hyperlink" Target="http://www.nevo.co.il/law/74501" TargetMode="External"/><Relationship Id="rId51" Type="http://schemas.openxmlformats.org/officeDocument/2006/relationships/hyperlink" Target="http://www.nevo.co.il/case/7003766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b" TargetMode="External"/><Relationship Id="rId54" Type="http://schemas.openxmlformats.org/officeDocument/2006/relationships/hyperlink" Target="http://www.nevo.co.il/law/70301/40c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i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d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f40e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jc.b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3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5707464" TargetMode="External"/><Relationship Id="rId69" Type="http://schemas.openxmlformats.org/officeDocument/2006/relationships/hyperlink" Target="http://www.nevo.co.il/case/5841695" TargetMode="External"/><Relationship Id="rId70" Type="http://schemas.openxmlformats.org/officeDocument/2006/relationships/hyperlink" Target="http://www.nevo.co.il/case/5581529" TargetMode="External"/><Relationship Id="rId71" Type="http://schemas.openxmlformats.org/officeDocument/2006/relationships/hyperlink" Target="http://www.nevo.co.il/case/5993204" TargetMode="External"/><Relationship Id="rId72" Type="http://schemas.openxmlformats.org/officeDocument/2006/relationships/hyperlink" Target="http://www.nevo.co.il/case/5593885" TargetMode="External"/><Relationship Id="rId73" Type="http://schemas.openxmlformats.org/officeDocument/2006/relationships/hyperlink" Target="http://www.nevo.co.il/case/5815848" TargetMode="External"/><Relationship Id="rId74" Type="http://schemas.openxmlformats.org/officeDocument/2006/relationships/hyperlink" Target="http://www.nevo.co.il/case/5576474" TargetMode="External"/><Relationship Id="rId75" Type="http://schemas.openxmlformats.org/officeDocument/2006/relationships/hyperlink" Target="http://www.nevo.co.il/law/70301/40i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28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7773349" TargetMode="External"/><Relationship Id="rId80" Type="http://schemas.openxmlformats.org/officeDocument/2006/relationships/hyperlink" Target="http://www.nevo.co.il/case/5603213" TargetMode="External"/><Relationship Id="rId81" Type="http://schemas.openxmlformats.org/officeDocument/2006/relationships/hyperlink" Target="http://www.nevo.co.il/case/6244063" TargetMode="External"/><Relationship Id="rId82" Type="http://schemas.openxmlformats.org/officeDocument/2006/relationships/hyperlink" Target="http://www.nevo.co.il/case/6879752" TargetMode="External"/><Relationship Id="rId83" Type="http://schemas.openxmlformats.org/officeDocument/2006/relationships/hyperlink" Target="http://www.nevo.co.il/case/5588118" TargetMode="External"/><Relationship Id="rId84" Type="http://schemas.openxmlformats.org/officeDocument/2006/relationships/hyperlink" Target="http://www.nevo.co.il/case/5603213" TargetMode="External"/><Relationship Id="rId85" Type="http://schemas.openxmlformats.org/officeDocument/2006/relationships/hyperlink" Target="http://www.nevo.co.il/case/18678297" TargetMode="External"/><Relationship Id="rId86" Type="http://schemas.openxmlformats.org/officeDocument/2006/relationships/hyperlink" Target="http://www.nevo.co.il/case/8497451" TargetMode="External"/><Relationship Id="rId87" Type="http://schemas.openxmlformats.org/officeDocument/2006/relationships/hyperlink" Target="http://www.nevo.co.il/case/12931893" TargetMode="External"/><Relationship Id="rId88" Type="http://schemas.openxmlformats.org/officeDocument/2006/relationships/hyperlink" Target="http://www.nevo.co.il/case/17027957" TargetMode="External"/><Relationship Id="rId89" Type="http://schemas.openxmlformats.org/officeDocument/2006/relationships/hyperlink" Target="http://www.nevo.co.il/law/70301/40ja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40jc.b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5227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5227" TargetMode="External"/><Relationship Id="rId97" Type="http://schemas.openxmlformats.org/officeDocument/2006/relationships/hyperlink" Target="http://www.nevo.co.il/law/74274" TargetMode="External"/><Relationship Id="rId98" Type="http://schemas.openxmlformats.org/officeDocument/2006/relationships/hyperlink" Target="http://www.nevo.co.il/advertisements/nevo-100.doc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2017-02-06T12:21:00Z</dcterms:created>
  <dc:creator> </dc:creator>
  <dc:description/>
  <cp:keywords/>
  <dc:language>en-IL</dc:language>
  <cp:lastModifiedBy>Tali-a</cp:lastModifiedBy>
  <dcterms:modified xsi:type="dcterms:W3CDTF">2017-02-06T12:21:00Z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מחאמיד</vt:lpwstr>
  </property>
  <property fmtid="{D5CDD505-2E9C-101B-9397-08002B2CF9AE}" pid="4" name="CASESLISTTMP1">
    <vt:lpwstr>20195750;7003766;5707464;5841695;5581529;5993204;5593885;5815848;5576474;7773349;5603213:2;6244063;6879752;5588118;18678297;8497451;12931893;17027957</vt:lpwstr>
  </property>
  <property fmtid="{D5CDD505-2E9C-101B-9397-08002B2CF9AE}" pid="5" name="CITY">
    <vt:lpwstr>חי'</vt:lpwstr>
  </property>
  <property fmtid="{D5CDD505-2E9C-101B-9397-08002B2CF9AE}" pid="6" name="DATE">
    <vt:lpwstr>20160410</vt:lpwstr>
  </property>
  <property fmtid="{D5CDD505-2E9C-101B-9397-08002B2CF9AE}" pid="7" name="ISABSTRACT">
    <vt:lpwstr>Y</vt:lpwstr>
  </property>
  <property fmtid="{D5CDD505-2E9C-101B-9397-08002B2CF9AE}" pid="8" name="JUDGE">
    <vt:lpwstr>אורית וינשטיין</vt:lpwstr>
  </property>
  <property fmtid="{D5CDD505-2E9C-101B-9397-08002B2CF9AE}" pid="9" name="LAWLISTTMP1">
    <vt:lpwstr>70301/402.b;025;029;040b;040c;040i;40ja:2;040d;f40e;40jc.b:2;403;040i.b;028</vt:lpwstr>
  </property>
  <property fmtid="{D5CDD505-2E9C-101B-9397-08002B2CF9AE}" pid="10" name="LAWLISTTMP2">
    <vt:lpwstr>74274/040.a;021.b.2;036.c;144.a.1;144.a.3;144.a.2</vt:lpwstr>
  </property>
  <property fmtid="{D5CDD505-2E9C-101B-9397-08002B2CF9AE}" pid="11" name="LAWLISTTMP3">
    <vt:lpwstr>5227/062.2;038.2;010.a;038.1</vt:lpwstr>
  </property>
  <property fmtid="{D5CDD505-2E9C-101B-9397-08002B2CF9AE}" pid="12" name="LAWLISTTMP4">
    <vt:lpwstr>74501/002.a;002.b</vt:lpwstr>
  </property>
  <property fmtid="{D5CDD505-2E9C-101B-9397-08002B2CF9AE}" pid="13" name="NEWPARTA">
    <vt:lpwstr>52626</vt:lpwstr>
  </property>
  <property fmtid="{D5CDD505-2E9C-101B-9397-08002B2CF9AE}" pid="14" name="NEWPARTB">
    <vt:lpwstr>07</vt:lpwstr>
  </property>
  <property fmtid="{D5CDD505-2E9C-101B-9397-08002B2CF9AE}" pid="15" name="NEWPARTC">
    <vt:lpwstr>15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390020160410</vt:lpwstr>
  </property>
  <property fmtid="{D5CDD505-2E9C-101B-9397-08002B2CF9AE}" pid="20" name="TYPE_N_DATE">
    <vt:lpwstr>39020160410</vt:lpwstr>
  </property>
  <property fmtid="{D5CDD505-2E9C-101B-9397-08002B2CF9AE}" pid="21" name="WORDNUMPAGES">
    <vt:lpwstr>18</vt:lpwstr>
  </property>
</Properties>
</file>