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בקריית גת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בשבתו בבימ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ש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אשקלון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53098-05-17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שטיינפאייר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נועה חקלאי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שטיינפאייר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 xml:space="preserve">הנאשם הורשע על פי הודאתו בכתב אישום מתוקן המייחס לו עבירה של החזקת חלק של נשק או תחמושת בניגוד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 ל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bookmarkStart w:id="8" w:name="ABSTRACT_END"/>
      <w:bookmarkEnd w:id="8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 פי 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28.10.14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 הנאשם 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בתחמושת שלהלן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בקוטר </w:t>
      </w:r>
      <w:r>
        <w:rPr>
          <w:rFonts w:cs="Calibri" w:ascii="Calibri" w:hAnsi="Calibri"/>
        </w:rPr>
        <w:t>7.62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מחסנית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בקוטר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24.5.17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הציגו הצדדים הסדר טיעון לפיו הנאשם יודה בכתב אישום 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יורשע וישלח לשירות המבחן לקבלת תסקיר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עמדת המאשימה למאסר על תנאי והתחייבות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סוכם שהצדדים יטענו באופן פתוח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color w:val="FF0000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תסקיר שירות המבחן 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בתסקיר מיום </w:t>
      </w:r>
      <w:r>
        <w:rPr>
          <w:rFonts w:cs="Calibri" w:ascii="Calibri" w:hAnsi="Calibri"/>
        </w:rPr>
        <w:t>3.12.17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 שירות המבחן את הרקע האישי והמשפחתי של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בן </w:t>
      </w: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גרוש בשנית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 לארבעה 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מתגורר עם גרושתו ובנו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 הצעיר נפטר לאחר שהתחשמל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נולד וגדל באוקראינה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סיים שם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לימוד ושירת בצבא האוקראיני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בשנת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 לעבוד באבטחה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במכתב ממעסיקו עולה כי הנאשם אחראי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סבלני ומסור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מיולי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 מות בנו היה שרוי במשבר קשה ומטופל תרופתית במרפאה לבריאות הנפש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 פטירת בנו לא חזר הנאשם לעבוד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נעדר עבר 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 לעבירה הנדונה מסר כי נהג לנסוע עם חבריו לאזור דייג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באזור זה התקיימו אימוני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וכחלק משגרת אימונים הושארו תרמילים וכדורים רבים בשטח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נהג לאספם ולרתכם לצורך שימוש לדייג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שיתף כי לא ידע על האיסור בדבר החזקת ציוד שכזה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 המחסניות מסר כי בשוק הבדואי מכרו מחסניות ריקות והוא רכש אותן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 הנאשם רק בעקבות ההליכים המשפטיים הבין את חומרת מעשיו והביע חרטה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העריך את הנאשם כבעל יכולת תפקוד תקינה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המנהל אורח חיים 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 שחווה אבדן קשה של בנו 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אבדן אשר הוביל לערעור מצבו הרגשי שבעקבותיו הפסיק עבודתו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הסתגר בביתו ושינה אורח 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 המבחן סבור שלאור האמור קיימת רמת סיכון נמוכה להישנות העבירה וכי ההליך המשפטי היווה גורם מרתיע עבור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 האמור ובכדי לצמצם פגיעה אפשרית בעתיד התעסוקתי של הנאשם המליץ שירות המבחן לבטל הרשעתו בדין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חזרה על עמדתה להטיל על הנאשם מאסר מותנה והתחייבות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ביקשה לאמץ את המלצת שירות המבחן ולבטל הרשעת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 עבר פלילי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עד לאחרונה עבד בתחום האבטחה ובעקבות האסון שפקד את 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מות 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מסתגר בביתו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 הרשעה תפגע ביכולתו לשקם עצמו ולחזור למעגל התעסוקה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       </w:t>
        <w:tab/>
      </w:r>
      <w:r>
        <w:rPr>
          <w:rFonts w:ascii="Calibri" w:hAnsi="Calibri" w:cs="Calibri"/>
          <w:rtl w:val="true"/>
        </w:rPr>
        <w:t>הנאשם לא היה מסוגל לדבר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אשתו ביקשה לדבר במקומו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 ציינה כי מאז פטירת הבן הנאשם לא חזר לעצמו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מטופל אצל פסיכיאטר וסובל משלל מחלות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 הנאשם לא היה מודע לכך שהוא עובר על 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 הנאשם חייב לחזור לעבודה בכדי לעמוד בתשלומי שכר הדירה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מעוניין לחזור לעבוד בתחום השיפוץ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בעבר היה עצמאי ורוצה לחזור לזה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/>
          <w:bCs/>
          <w:sz w:val="40"/>
          <w:sz w:val="40"/>
          <w:szCs w:val="40"/>
          <w:u w:val="single"/>
          <w:rtl w:val="true"/>
        </w:rPr>
        <w:t>דיון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254" w:before="0" w:after="160"/>
        <w:ind w:start="36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b/>
          <w:b/>
          <w:bCs/>
          <w:color w:val="000000"/>
          <w:rtl w:val="true"/>
        </w:rPr>
        <w:t>הערכים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המוגנים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שנפגעו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וביטחונו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before="0" w:after="160"/>
        <w:ind w:hanging="720" w:start="720" w:end="0"/>
        <w:jc w:val="both"/>
        <w:rPr>
          <w:rFonts w:ascii="Calibri" w:hAnsi="Calibri" w:cs="Calibri"/>
        </w:rPr>
      </w:pPr>
      <w:r>
        <w:rPr>
          <w:lang w:eastAsia="he-IL"/>
        </w:rPr>
        <w:t>9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הפגיעה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בערכים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הנמוך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</w:rPr>
        <w:t xml:space="preserve">החזיק הנאשם בביתו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בקוטר </w:t>
      </w:r>
      <w:r>
        <w:rPr>
          <w:rFonts w:cs="Calibri" w:ascii="Calibri" w:hAnsi="Calibri"/>
        </w:rPr>
        <w:t>7.62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מחסנית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בקוטר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napToGrid w:val="false"/>
        <w:spacing w:before="120" w:after="0"/>
        <w:ind w:hanging="720" w:start="720" w:end="0"/>
        <w:jc w:val="both"/>
        <w:rPr>
          <w:lang w:eastAsia="he-IL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באשר לנסיבות הקשורות בביצוע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נתתי דעתי לסוג התחמושת והאביזרים שהוחזקו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נתתי דעתי לכך שהוחזקו בביתו של הנאשם ולא נעשה בהם 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נתתי דעתי לדברי הנאשם בפגישה עם שירות המבחן לכך שאסף אותם באזור דייג בו התקיימו אימוני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והושארו תרמילים וכדורים רבים בשטח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נהג לאספם ולרתכם לצורך שימוש לדייג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napToGrid w:val="false"/>
        <w:spacing w:lineRule="exact" w:line="300" w:before="120" w:after="0"/>
        <w:ind w:hanging="360" w:start="360" w:end="0"/>
        <w:jc w:val="both"/>
        <w:rPr>
          <w:lang w:eastAsia="he-IL"/>
        </w:rPr>
      </w:pPr>
      <w:r>
        <w:rPr>
          <w:lang w:eastAsia="he-IL"/>
        </w:rPr>
        <w:t>11</w:t>
      </w:r>
      <w:r>
        <w:rPr>
          <w:rtl w:val="true"/>
          <w:lang w:eastAsia="he-IL"/>
        </w:rPr>
        <w:t>.</w:t>
        <w:tab/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שלהלן</w:t>
      </w:r>
      <w:r>
        <w:rPr>
          <w:rtl w:val="true"/>
          <w:lang w:eastAsia="he-IL"/>
        </w:rPr>
        <w:t xml:space="preserve">:  </w:t>
      </w:r>
    </w:p>
    <w:p>
      <w:pPr>
        <w:pStyle w:val="Normal"/>
        <w:snapToGrid w:val="false"/>
        <w:spacing w:lineRule="exact" w:line="300" w:before="120" w:after="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20834-04-17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ורנר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27.6.17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 הודה בעבירה של החזקת תחמושת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360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קליעים בקוטר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קמא ביטל הרשעתו והטיל עליו </w:t>
      </w:r>
      <w:r>
        <w:rPr>
          <w:rFonts w:cs="Calibri" w:ascii="Calibri" w:hAnsi="Calibri"/>
        </w:rPr>
        <w:t>250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המדינה בבית המשפט המחוזי התקבל והנאשם הורשע בדין ונדון לשל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 שנקבע על ידי בית משפט קמא ובנוסף מאסר מותנה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16825-05-15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גואטה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בתקדין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10.1.17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 נדון על עבירות בניגוד 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לצד עבירה של החזקת תחמושת </w:t>
      </w:r>
      <w:r>
        <w:rPr>
          <w:rFonts w:cs="Calibri" w:ascii="Calibri" w:hAnsi="Calibri"/>
          <w:rtl w:val="true"/>
        </w:rPr>
        <w:t xml:space="preserve">( </w:t>
      </w:r>
      <w:r>
        <w:rPr>
          <w:rFonts w:ascii="Calibri" w:hAnsi="Calibri" w:cs="Calibri"/>
          <w:rtl w:val="true"/>
        </w:rPr>
        <w:t xml:space="preserve">מחסנית לרובה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ובה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 המשפט קבע כי מתחם העונש ההולם לעבירה של החזקת התחמושת נע בין מאסר על תנאי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הנאשם נגזרו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מכלול האישומים 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 על תנאי וצו 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hyperlink r:id="rId11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טבריה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26182-10-14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אבו חנין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פורסם בנבו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9.2.16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החזקת דבק חבלה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מחסנית לנשק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364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</w:t>
      </w:r>
      <w:r>
        <w:rPr>
          <w:rFonts w:cs="Calibri" w:ascii="Calibri" w:hAnsi="Calibri"/>
          <w:sz w:val="22"/>
        </w:rPr>
        <w:t>7.62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714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</w:t>
      </w:r>
      <w:r>
        <w:rPr>
          <w:rFonts w:cs="Calibri" w:ascii="Calibri" w:hAnsi="Calibri"/>
          <w:sz w:val="22"/>
        </w:rPr>
        <w:t>5.56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50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מחסניות </w:t>
      </w: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</w:rPr>
        <w:t>M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כשבתוכן </w:t>
      </w:r>
      <w:r>
        <w:rPr>
          <w:rFonts w:cs="Calibri" w:ascii="Calibri" w:hAnsi="Calibri"/>
          <w:sz w:val="22"/>
        </w:rPr>
        <w:t>708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</w:t>
      </w:r>
      <w:r>
        <w:rPr>
          <w:rFonts w:cs="Calibri" w:ascii="Calibri" w:hAnsi="Calibri"/>
          <w:sz w:val="22"/>
          <w:rtl w:val="true"/>
        </w:rPr>
        <w:t xml:space="preserve">.  </w:t>
      </w:r>
      <w:r>
        <w:rPr>
          <w:rFonts w:ascii="Calibri" w:hAnsi="Calibri" w:cs="Calibri"/>
          <w:rtl w:val="true"/>
        </w:rPr>
        <w:t>בית המשפט קבע מתחם הנע ממאסר מותנה ועד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וגזר על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 מאסר על תנאי וקנס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ק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5065-12-11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סנקאר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בתקדין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10.12.13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הנאשם הורשע במסגרת הסדר בעבירה של החזקת תחמושת – מחסנית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ובה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נגזרו על הנאשם מאסר מותנה והתחייבות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5787-10-14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אשטיבקר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בתקדין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13.4.15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לנאשם יוחסה עבירה של החזקת תחמושת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הנאשם החזיק בביתו שתי מחסניות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שהכילו </w:t>
      </w: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והחזיק בתא המטען שבמכוניתו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לצד עבירות על פקודת הסמים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בית המשפט קבע כי מתחם העונש ההולם לעבירה של החזקת תחמושת נע  מצו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 ועד לשנת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נדון על כל העבירות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 על תנאי 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6926-03-14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יצחקי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בתקדין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29.12.15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לנאשם יוחסו עבירות של גידול 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 תחמושת ועבירות נוספות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משפט קבע מתחם נפרד לעבירת התחמושת והעמידו על מאסר על תנאי ועד למספר 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ק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28892-11-15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תביעות צפת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חדד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בתקדין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20.11.16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הנאשם הורשע בעבירות של הכשלת שוטר והחזקת תחמושת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 יד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עשן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פצצות תאורה ידנית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127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ושקית שהכילה </w:t>
      </w:r>
      <w:r>
        <w:rPr>
          <w:rFonts w:cs="Calibri" w:ascii="Calibri" w:hAnsi="Calibri"/>
        </w:rPr>
        <w:t>150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 המשפט גזר על הנאשם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 והתחייבות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</w:rPr>
      </w:pP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16868-06-11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מסארווה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20.2.13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הנאשם הורשע בעבירה של החזקת תחמושת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 מאסר מותנה 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Calibri" w:hAnsi="Calibri" w:cs="Calibri"/>
          <w:sz w:val="22"/>
        </w:rPr>
      </w:pPr>
      <w:hyperlink r:id="rId1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61153-09-14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מליאנץ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פורסם בנבו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3.3.16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 xml:space="preserve">החזקת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אקדח </w:t>
      </w:r>
      <w:r>
        <w:rPr>
          <w:rFonts w:cs="Calibri" w:ascii="Calibri" w:hAnsi="Calibri"/>
          <w:sz w:val="22"/>
        </w:rPr>
        <w:t>9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נפצים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113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 בתפזורת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מחסניות של אקדח </w:t>
      </w: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</w:rPr>
        <w:t>M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המכילות כדורים 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214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</w:t>
      </w: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</w:rPr>
        <w:t>M</w:t>
      </w:r>
      <w:r>
        <w:rPr>
          <w:rFonts w:cs="Calibri" w:ascii="Calibri" w:hAnsi="Calibri"/>
          <w:sz w:val="22"/>
          <w:rtl w:val="true"/>
        </w:rPr>
        <w:t xml:space="preserve"> –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צ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ללא הרשעה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Calibri" w:hAnsi="Calibri" w:cs="Calibri"/>
          <w:sz w:val="22"/>
        </w:rPr>
      </w:pPr>
      <w:hyperlink r:id="rId1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29725-10-13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פומיאצוב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פורסם בנבו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19.4.15</w:t>
      </w:r>
      <w:r>
        <w:rPr>
          <w:rFonts w:cs="Calibri" w:ascii="Calibri" w:hAnsi="Calibri"/>
          <w:sz w:val="22"/>
          <w:rtl w:val="true"/>
        </w:rPr>
        <w:t xml:space="preserve">), </w:t>
      </w:r>
      <w:r>
        <w:rPr>
          <w:rFonts w:ascii="Calibri" w:hAnsi="Calibri" w:cs="Calibri"/>
          <w:sz w:val="22"/>
          <w:sz w:val="22"/>
          <w:rtl w:val="true"/>
        </w:rPr>
        <w:t>החזקת אקדח גז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ascii="Calibri" w:hAnsi="Calibri" w:cs="Calibri"/>
          <w:sz w:val="22"/>
          <w:sz w:val="22"/>
          <w:rtl w:val="true"/>
        </w:rPr>
        <w:t>זיקוקים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ascii="Calibri" w:hAnsi="Calibri" w:cs="Calibri"/>
          <w:sz w:val="22"/>
          <w:sz w:val="22"/>
          <w:rtl w:val="true"/>
        </w:rPr>
        <w:t xml:space="preserve">הזנקה מסוג נפוליאון ביחד עם מחסנית תואמת המכילה </w:t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 – של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צ והתחייבות – ללא הרשעה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ind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276" w:before="0" w:after="200"/>
        <w:ind w:hanging="720" w:start="720" w:end="0"/>
        <w:jc w:val="both"/>
        <w:rPr/>
      </w:pPr>
      <w:r>
        <w:rPr>
          <w:rFonts w:cs="Calibri" w:ascii="Calibri" w:hAnsi="Calibri"/>
          <w:sz w:val="22"/>
        </w:rPr>
        <w:t>12</w:t>
      </w:r>
      <w:r>
        <w:rPr>
          <w:rFonts w:cs="Arial" w:ascii="Calibri" w:hAnsi="Calibri"/>
          <w:sz w:val="22"/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276" w:before="0" w:after="20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שאלת ביטול הרשעה </w:t>
      </w:r>
    </w:p>
    <w:p>
      <w:pPr>
        <w:pStyle w:val="Normal"/>
        <w:numPr>
          <w:ilvl w:val="0"/>
          <w:numId w:val="5"/>
        </w:numPr>
        <w:spacing w:lineRule="exact" w:line="300" w:before="280" w:after="280"/>
        <w:ind w:hanging="360" w:start="720" w:end="0"/>
        <w:contextualSpacing/>
        <w:jc w:val="both"/>
        <w:rPr>
          <w:color w:val="000000"/>
        </w:rPr>
      </w:pPr>
      <w:r>
        <w:rPr>
          <w:rFonts w:ascii="Calibri" w:hAnsi="Calibri" w:cs="Calibri"/>
          <w:color w:val="000000"/>
          <w:rtl w:val="true"/>
        </w:rPr>
        <w:t>הכלל הוא כי מי שהוכחה אשמתו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יש להרשיעו בדין</w:t>
      </w:r>
      <w:r>
        <w:rPr>
          <w:rFonts w:cs="Calibri" w:ascii="Calibri" w:hAnsi="Calibri"/>
          <w:color w:val="000000"/>
          <w:rtl w:val="true"/>
        </w:rPr>
        <w:t xml:space="preserve">. </w:t>
      </w:r>
    </w:p>
    <w:p>
      <w:pPr>
        <w:pStyle w:val="Normal"/>
        <w:spacing w:lineRule="exact" w:line="300" w:before="280" w:after="120"/>
        <w:ind w:start="720" w:end="0"/>
        <w:contextualSpacing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exact" w:line="300" w:before="280" w:after="120"/>
        <w:ind w:start="720" w:end="0"/>
        <w:contextualSpacing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 w:val="true"/>
        </w:rPr>
        <w:t xml:space="preserve">עם זאת קיימים מקרים חריגים מיוחדים ויוצאי דופן בהם קיימת הצדקה להימנע מהרשעה </w:t>
      </w:r>
      <w:r>
        <w:rPr>
          <w:rFonts w:cs="Calibri" w:ascii="Calibri" w:hAnsi="Calibri"/>
          <w:color w:val="000000"/>
          <w:rtl w:val="true"/>
        </w:rPr>
        <w:t>(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9893/06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לאופר 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 ישרא</w:t>
      </w:r>
      <w:r>
        <w:rPr>
          <w:rFonts w:ascii="Calibri" w:hAnsi="Calibri" w:cs="Calibri"/>
          <w:color w:val="000000"/>
          <w:rtl w:val="true"/>
        </w:rPr>
        <w:t>ל</w:t>
      </w:r>
      <w:r>
        <w:rPr>
          <w:rFonts w:cs="Calibri" w:ascii="Calibri" w:hAnsi="Calibri"/>
          <w:color w:val="000000"/>
          <w:rtl w:val="true"/>
        </w:rPr>
        <w:t xml:space="preserve">) </w:t>
      </w:r>
      <w:r>
        <w:rPr>
          <w:rFonts w:ascii="Calibri" w:hAnsi="Calibri" w:cs="Calibri"/>
          <w:color w:val="000000"/>
          <w:rtl w:val="true"/>
        </w:rPr>
        <w:t>וזאת כאשר עלול להיווצר פער בלתי נסבל בין עוצמת פגיעתה של ההרשעה הפלילית בנאשם האינדיבידואלי לבין תועלתה של ההרשעה לאינטרס הציבורי</w:t>
      </w:r>
      <w:r>
        <w:rPr>
          <w:rFonts w:cs="Calibri" w:ascii="Calibri" w:hAnsi="Calibri"/>
          <w:color w:val="000000"/>
          <w:rtl w:val="true"/>
        </w:rPr>
        <w:t>-</w:t>
      </w:r>
      <w:r>
        <w:rPr>
          <w:rFonts w:ascii="Calibri" w:hAnsi="Calibri" w:cs="Calibri"/>
          <w:color w:val="000000"/>
          <w:rtl w:val="true"/>
        </w:rPr>
        <w:t>חברתי הכללי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pacing w:lineRule="exact" w:line="300" w:before="0" w:after="120"/>
        <w:ind w:start="720" w:end="0"/>
        <w:jc w:val="both"/>
        <w:rPr>
          <w:rFonts w:ascii="Calibri" w:hAnsi="Calibri" w:cs="Calibri"/>
          <w:color w:val="000000"/>
          <w:sz w:val="22"/>
        </w:rPr>
      </w:pPr>
      <w:r>
        <w:rPr>
          <w:rFonts w:cs="Calibri" w:ascii="Calibri" w:hAnsi="Calibri"/>
          <w:color w:val="000000"/>
          <w:sz w:val="22"/>
          <w:rtl w:val="true"/>
        </w:rPr>
      </w:r>
    </w:p>
    <w:p>
      <w:pPr>
        <w:pStyle w:val="Normal"/>
        <w:spacing w:lineRule="exact" w:line="300" w:before="0" w:after="120"/>
        <w:ind w:start="720" w:end="0"/>
        <w:jc w:val="both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  <w:sz w:val="22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2083/96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כתב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נב</w:t>
        </w:r>
      </w:hyperlink>
      <w:r>
        <w:rPr>
          <w:rFonts w:cs="Calibri" w:ascii="Calibri" w:hAnsi="Calibri"/>
          <w:color w:val="000000"/>
          <w:sz w:val="22"/>
          <w:rtl w:val="true"/>
        </w:rPr>
        <w:t>(</w:t>
      </w:r>
      <w:r>
        <w:rPr>
          <w:rFonts w:cs="Calibri" w:ascii="Calibri" w:hAnsi="Calibri"/>
          <w:color w:val="000000"/>
          <w:sz w:val="22"/>
        </w:rPr>
        <w:t>3</w:t>
      </w:r>
      <w:r>
        <w:rPr>
          <w:rFonts w:cs="Calibri" w:ascii="Calibri" w:hAnsi="Calibri"/>
          <w:color w:val="000000"/>
          <w:sz w:val="22"/>
          <w:rtl w:val="true"/>
        </w:rPr>
        <w:t xml:space="preserve">) </w:t>
      </w:r>
      <w:r>
        <w:rPr>
          <w:rFonts w:cs="Calibri" w:ascii="Calibri" w:hAnsi="Calibri"/>
          <w:color w:val="000000"/>
          <w:sz w:val="22"/>
        </w:rPr>
        <w:t>337</w:t>
      </w:r>
      <w:r>
        <w:rPr>
          <w:rFonts w:cs="Calibri" w:ascii="Calibri" w:hAnsi="Calibri"/>
          <w:color w:val="000000"/>
          <w:sz w:val="22"/>
          <w:rtl w:val="true"/>
        </w:rPr>
        <w:t xml:space="preserve"> </w:t>
      </w:r>
      <w:r>
        <w:rPr>
          <w:rFonts w:ascii="Calibri" w:hAnsi="Calibri" w:cs="Calibri"/>
          <w:color w:val="000000"/>
          <w:sz w:val="22"/>
          <w:sz w:val="22"/>
          <w:rtl w:val="true"/>
        </w:rPr>
        <w:t>נקבע כי הימנעות מהרשעה אפשרית בהצטבר שני גורמים מרכזיים</w:t>
      </w:r>
      <w:r>
        <w:rPr>
          <w:rFonts w:cs="Calibri" w:ascii="Calibri" w:hAnsi="Calibri"/>
          <w:color w:val="000000"/>
          <w:sz w:val="22"/>
          <w:rtl w:val="true"/>
        </w:rPr>
        <w:t xml:space="preserve">: </w:t>
      </w:r>
      <w:r>
        <w:rPr>
          <w:rFonts w:ascii="Calibri" w:hAnsi="Calibri" w:cs="Calibri"/>
          <w:color w:val="000000"/>
          <w:sz w:val="22"/>
          <w:sz w:val="22"/>
          <w:rtl w:val="true"/>
        </w:rPr>
        <w:t>ראשית</w:t>
      </w:r>
      <w:r>
        <w:rPr>
          <w:rFonts w:cs="Calibri" w:ascii="Calibri" w:hAnsi="Calibri"/>
          <w:color w:val="000000"/>
          <w:sz w:val="22"/>
          <w:rtl w:val="true"/>
        </w:rPr>
        <w:t xml:space="preserve">, </w:t>
      </w:r>
      <w:r>
        <w:rPr>
          <w:rFonts w:ascii="Calibri" w:hAnsi="Calibri" w:cs="Calibri"/>
          <w:color w:val="000000"/>
          <w:sz w:val="22"/>
          <w:sz w:val="22"/>
          <w:rtl w:val="true"/>
        </w:rPr>
        <w:t>סוג העבירה מאפשר לוותר בנסיבות המקרה המסוים על ההרשעה בלי לפגוע באופן מהותי בשיקולי הענישה האחרים</w:t>
      </w:r>
      <w:r>
        <w:rPr>
          <w:rFonts w:cs="Calibri" w:ascii="Calibri" w:hAnsi="Calibri"/>
          <w:color w:val="000000"/>
          <w:sz w:val="22"/>
          <w:rtl w:val="true"/>
        </w:rPr>
        <w:t xml:space="preserve">, </w:t>
      </w:r>
      <w:r>
        <w:rPr>
          <w:rFonts w:ascii="Calibri" w:hAnsi="Calibri" w:cs="Calibri"/>
          <w:color w:val="000000"/>
          <w:sz w:val="22"/>
          <w:sz w:val="22"/>
          <w:rtl w:val="true"/>
        </w:rPr>
        <w:t>ושנית ההרשעה תפגע  פגיעה חמורה בשיקום הנאשם</w:t>
      </w:r>
      <w:r>
        <w:rPr>
          <w:rFonts w:cs="Calibri" w:ascii="Calibri" w:hAnsi="Calibri"/>
          <w:color w:val="000000"/>
          <w:sz w:val="22"/>
          <w:rtl w:val="true"/>
        </w:rPr>
        <w:t>.</w:t>
      </w:r>
    </w:p>
    <w:p>
      <w:pPr>
        <w:pStyle w:val="Normal"/>
        <w:spacing w:lineRule="exact" w:line="300" w:before="0" w:after="120"/>
        <w:ind w:start="720" w:end="0"/>
        <w:jc w:val="both"/>
        <w:rPr>
          <w:rFonts w:ascii="Calibri" w:hAnsi="Calibri" w:cs="Arial"/>
          <w:color w:val="000000"/>
          <w:sz w:val="22"/>
        </w:rPr>
      </w:pPr>
      <w:r>
        <w:rPr>
          <w:rFonts w:cs="Arial" w:ascii="Calibri" w:hAnsi="Calibri"/>
          <w:color w:val="000000"/>
          <w:sz w:val="22"/>
          <w:rtl w:val="true"/>
        </w:rPr>
      </w:r>
    </w:p>
    <w:p>
      <w:pPr>
        <w:pStyle w:val="Normal"/>
        <w:numPr>
          <w:ilvl w:val="0"/>
          <w:numId w:val="5"/>
        </w:numPr>
        <w:spacing w:lineRule="exact" w:line="300" w:before="0" w:after="12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rtl w:val="true"/>
        </w:rPr>
        <w:t>יישום המבחנים האמורים במקרה דנן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מעלה כי לא ניתן להימנע מהרשעת הנאשם בדין</w:t>
      </w:r>
      <w:r>
        <w:rPr>
          <w:rFonts w:cs="Calibri" w:ascii="Calibri" w:hAnsi="Calibri"/>
          <w:b/>
          <w:bCs/>
          <w:color w:val="000000"/>
          <w:rtl w:val="true"/>
        </w:rPr>
        <w:t>.</w:t>
      </w:r>
    </w:p>
    <w:p>
      <w:pPr>
        <w:pStyle w:val="Normal"/>
        <w:spacing w:lineRule="exact" w:line="300" w:before="0" w:after="120"/>
        <w:ind w:start="720" w:end="0"/>
        <w:jc w:val="both"/>
        <w:rPr>
          <w:rFonts w:ascii="Calibri" w:hAnsi="Calibri" w:cs="Calibri"/>
          <w:b/>
          <w:bCs/>
          <w:color w:val="000000"/>
          <w:sz w:val="22"/>
        </w:rPr>
      </w:pPr>
      <w:r>
        <w:rPr>
          <w:rFonts w:cs="Calibri" w:ascii="Calibri" w:hAnsi="Calibri"/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00" w:before="0" w:after="120"/>
        <w:ind w:start="720" w:end="0"/>
        <w:jc w:val="both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  <w:sz w:val="22"/>
          <w:rtl w:val="true"/>
        </w:rPr>
        <w:t>הגם שעסקינן בפגיעה בערכים המוגנים ברף הנמוך עדיין לא מתקיים התנאי כי הרשעה תביא לפגיעה חמורה בשיקומו של הנאשם</w:t>
      </w:r>
      <w:r>
        <w:rPr>
          <w:rFonts w:cs="Calibri" w:ascii="Calibri" w:hAnsi="Calibri"/>
          <w:color w:val="000000"/>
          <w:sz w:val="22"/>
          <w:rtl w:val="true"/>
        </w:rPr>
        <w:t xml:space="preserve">. </w:t>
      </w:r>
    </w:p>
    <w:p>
      <w:pPr>
        <w:pStyle w:val="Normal"/>
        <w:spacing w:lineRule="exact" w:line="300" w:before="0" w:after="120"/>
        <w:ind w:start="720" w:end="0"/>
        <w:jc w:val="both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  <w:sz w:val="22"/>
          <w:rtl w:val="true"/>
        </w:rPr>
        <w:t>אין מדובר בנאשם צעיר בגילו</w:t>
      </w:r>
      <w:r>
        <w:rPr>
          <w:rFonts w:cs="Calibri" w:ascii="Calibri" w:hAnsi="Calibri"/>
          <w:color w:val="000000"/>
          <w:sz w:val="22"/>
          <w:rtl w:val="true"/>
        </w:rPr>
        <w:t xml:space="preserve">, </w:t>
      </w:r>
      <w:r>
        <w:rPr>
          <w:rFonts w:ascii="Calibri" w:hAnsi="Calibri" w:cs="Calibri"/>
          <w:color w:val="000000"/>
          <w:sz w:val="22"/>
          <w:sz w:val="22"/>
          <w:rtl w:val="true"/>
        </w:rPr>
        <w:t xml:space="preserve">אלא בנאשם בן </w:t>
      </w:r>
      <w:r>
        <w:rPr>
          <w:rFonts w:cs="Calibri" w:ascii="Calibri" w:hAnsi="Calibri"/>
          <w:color w:val="000000"/>
          <w:sz w:val="22"/>
        </w:rPr>
        <w:t>55</w:t>
      </w:r>
      <w:r>
        <w:rPr>
          <w:rFonts w:cs="Calibri" w:ascii="Calibri" w:hAnsi="Calibri"/>
          <w:color w:val="000000"/>
          <w:sz w:val="22"/>
          <w:rtl w:val="true"/>
        </w:rPr>
        <w:t xml:space="preserve">. </w:t>
      </w:r>
    </w:p>
    <w:p>
      <w:pPr>
        <w:pStyle w:val="Normal"/>
        <w:spacing w:lineRule="exact" w:line="300" w:before="0" w:after="120"/>
        <w:ind w:start="720" w:end="0"/>
        <w:jc w:val="both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  <w:sz w:val="22"/>
          <w:rtl w:val="true"/>
        </w:rPr>
        <w:t>הגם שהנאשם נעדר הרשעות קודמות והגם שלא נפתחו תיקים נוספים</w:t>
      </w:r>
      <w:r>
        <w:rPr>
          <w:rFonts w:cs="Calibri" w:ascii="Calibri" w:hAnsi="Calibri"/>
          <w:color w:val="000000"/>
          <w:sz w:val="22"/>
          <w:rtl w:val="true"/>
        </w:rPr>
        <w:t xml:space="preserve">, </w:t>
      </w:r>
      <w:r>
        <w:rPr>
          <w:rFonts w:ascii="Calibri" w:hAnsi="Calibri" w:cs="Calibri"/>
          <w:color w:val="000000"/>
          <w:sz w:val="22"/>
          <w:sz w:val="22"/>
          <w:rtl w:val="true"/>
        </w:rPr>
        <w:t>הרי שהנאשם לא הצביע על קיומו של נזק קונקרטי כתוצאה מהרשעה</w:t>
      </w:r>
      <w:r>
        <w:rPr>
          <w:rFonts w:cs="Calibri" w:ascii="Calibri" w:hAnsi="Calibri"/>
          <w:color w:val="000000"/>
          <w:sz w:val="22"/>
          <w:rtl w:val="true"/>
        </w:rPr>
        <w:t>.</w:t>
      </w:r>
    </w:p>
    <w:p>
      <w:pPr>
        <w:pStyle w:val="Normal"/>
        <w:spacing w:lineRule="exact" w:line="300" w:before="0" w:after="120"/>
        <w:ind w:start="720" w:end="0"/>
        <w:jc w:val="both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  <w:sz w:val="22"/>
          <w:rtl w:val="true"/>
        </w:rPr>
        <w:t>הנאשם אינו עובד כרגע</w:t>
      </w:r>
      <w:r>
        <w:rPr>
          <w:rFonts w:cs="Calibri" w:ascii="Calibri" w:hAnsi="Calibri"/>
          <w:color w:val="000000"/>
          <w:sz w:val="22"/>
          <w:rtl w:val="true"/>
        </w:rPr>
        <w:t xml:space="preserve">. </w:t>
      </w:r>
      <w:r>
        <w:rPr>
          <w:rFonts w:ascii="Calibri" w:hAnsi="Calibri" w:cs="Calibri"/>
          <w:color w:val="000000"/>
          <w:sz w:val="22"/>
          <w:sz w:val="22"/>
          <w:rtl w:val="true"/>
        </w:rPr>
        <w:t>טענת באת כוחו כי עבד בעבר באבטחה והרשעה עלולה לפגוע ביכולתו לעסוק בשירותי אבטחה בעתיד נטענה ללא כל ביסוס ראייתי</w:t>
      </w:r>
      <w:r>
        <w:rPr>
          <w:rFonts w:cs="Calibri" w:ascii="Calibri" w:hAnsi="Calibri"/>
          <w:color w:val="000000"/>
          <w:sz w:val="22"/>
          <w:rtl w:val="true"/>
        </w:rPr>
        <w:t>.</w:t>
      </w:r>
    </w:p>
    <w:p>
      <w:pPr>
        <w:pStyle w:val="Normal"/>
        <w:spacing w:lineRule="exact" w:line="300" w:before="0" w:after="120"/>
        <w:ind w:start="720" w:end="0"/>
        <w:jc w:val="both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  <w:sz w:val="22"/>
          <w:rtl w:val="true"/>
        </w:rPr>
        <w:t>מדברי אשת הנאשם עולה כי הנאשם מתכנן לעסוק כעצמאי בתחום השיפוצים והאינסטלציה</w:t>
      </w:r>
      <w:r>
        <w:rPr>
          <w:rFonts w:cs="Calibri" w:ascii="Calibri" w:hAnsi="Calibri"/>
          <w:color w:val="000000"/>
          <w:sz w:val="22"/>
          <w:rtl w:val="true"/>
        </w:rPr>
        <w:t xml:space="preserve">, </w:t>
      </w:r>
      <w:r>
        <w:rPr>
          <w:rFonts w:ascii="Calibri" w:hAnsi="Calibri" w:cs="Calibri"/>
          <w:color w:val="000000"/>
          <w:sz w:val="22"/>
          <w:sz w:val="22"/>
          <w:rtl w:val="true"/>
        </w:rPr>
        <w:t>ולא הוכח כי הרשעה עלולה לחבל באפשרותו לעסוק בעיסוק זה</w:t>
      </w:r>
      <w:r>
        <w:rPr>
          <w:rFonts w:cs="Calibri" w:ascii="Calibri" w:hAnsi="Calibri"/>
          <w:color w:val="000000"/>
          <w:sz w:val="22"/>
          <w:rtl w:val="true"/>
        </w:rPr>
        <w:t>.</w:t>
      </w:r>
    </w:p>
    <w:p>
      <w:pPr>
        <w:pStyle w:val="Normal"/>
        <w:spacing w:lineRule="exact" w:line="300" w:before="280" w:after="280"/>
        <w:ind w:start="720" w:end="0"/>
        <w:jc w:val="both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  <w:sz w:val="22"/>
          <w:rtl w:val="true"/>
        </w:rPr>
        <w:t>לאור האמור</w:t>
      </w:r>
      <w:r>
        <w:rPr>
          <w:rFonts w:cs="Calibri" w:ascii="Calibri" w:hAnsi="Calibri"/>
          <w:color w:val="000000"/>
          <w:sz w:val="22"/>
          <w:rtl w:val="true"/>
        </w:rPr>
        <w:t xml:space="preserve">, </w:t>
      </w:r>
      <w:r>
        <w:rPr>
          <w:rFonts w:ascii="Calibri" w:hAnsi="Calibri" w:cs="Calibri"/>
          <w:color w:val="000000"/>
          <w:sz w:val="22"/>
          <w:sz w:val="22"/>
          <w:rtl w:val="true"/>
        </w:rPr>
        <w:t>בהעדר נזק קונקרטי כתוצאה מהרשעה</w:t>
      </w:r>
      <w:r>
        <w:rPr>
          <w:rFonts w:cs="Calibri" w:ascii="Calibri" w:hAnsi="Calibri"/>
          <w:color w:val="000000"/>
          <w:sz w:val="22"/>
          <w:rtl w:val="true"/>
        </w:rPr>
        <w:t xml:space="preserve">, </w:t>
      </w:r>
      <w:r>
        <w:rPr>
          <w:rFonts w:ascii="Calibri" w:hAnsi="Calibri" w:cs="Calibri"/>
          <w:color w:val="000000"/>
          <w:sz w:val="22"/>
          <w:sz w:val="22"/>
          <w:rtl w:val="true"/>
        </w:rPr>
        <w:t>לא מצאתי כי ניתן להורות על ביטול הרשעת הנאשם</w:t>
      </w:r>
      <w:r>
        <w:rPr>
          <w:rFonts w:cs="Calibri" w:ascii="Calibri" w:hAnsi="Calibri"/>
          <w:color w:val="000000"/>
          <w:sz w:val="22"/>
          <w:rtl w:val="true"/>
        </w:rPr>
        <w:t>.</w:t>
      </w:r>
    </w:p>
    <w:p>
      <w:pPr>
        <w:pStyle w:val="Normal"/>
        <w:spacing w:lineRule="exact" w:line="300" w:before="280" w:after="280"/>
        <w:ind w:start="720" w:end="0"/>
        <w:jc w:val="both"/>
        <w:rPr>
          <w:rFonts w:ascii="Calibri" w:hAnsi="Calibri" w:cs="Calibri"/>
          <w:color w:val="000000"/>
          <w:sz w:val="22"/>
        </w:rPr>
      </w:pPr>
      <w:r>
        <w:rPr>
          <w:rFonts w:cs="Calibri" w:ascii="Calibri" w:hAnsi="Calibri"/>
          <w:color w:val="000000"/>
          <w:sz w:val="22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עונשו של הנאשם</w:t>
      </w:r>
    </w:p>
    <w:p>
      <w:pPr>
        <w:pStyle w:val="Normal"/>
        <w:spacing w:before="0" w:after="12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 מצאתי הצדקה לחרוג לקולה או לחומרה ממתחם העונש 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בבואי לגזור את עונשו של הנאשם בתוך מתחם העונש ההולם לקחתי בחשבון את השיקולים 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2"/>
        </w:numPr>
        <w:snapToGrid w:val="false"/>
        <w:spacing w:lineRule="exact" w:line="300" w:before="120" w:after="200"/>
        <w:ind w:hanging="360" w:start="108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זקפתי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napToGrid w:val="false"/>
        <w:spacing w:lineRule="exact" w:line="300" w:before="120" w:after="200"/>
        <w:ind w:hanging="360" w:start="108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זקפתי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napToGrid w:val="false"/>
        <w:spacing w:lineRule="exact" w:line="300" w:before="120" w:after="200"/>
        <w:ind w:hanging="360" w:start="108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exact" w:line="300" w:before="0" w:after="0"/>
        <w:ind w:hanging="360" w:start="1080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-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נפתחו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napToGrid w:val="false"/>
        <w:spacing w:lineRule="exact" w:line="300" w:before="0" w:after="0"/>
        <w:ind w:hanging="360" w:start="108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לתפיסתו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napToGrid w:val="false"/>
        <w:spacing w:lineRule="exact" w:line="300" w:before="0" w:after="0"/>
        <w:ind w:hanging="360" w:start="108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המלצתו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exact" w:line="300" w:before="0" w:after="0"/>
        <w:ind w:hanging="360" w:start="1080" w:end="0"/>
        <w:jc w:val="both"/>
        <w:rPr>
          <w:rFonts w:ascii="Calibri" w:hAnsi="Calibri" w:cs="Calibri"/>
        </w:rPr>
      </w:pP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ומטיעוני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הטרגדיה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מתמודד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napToGrid w:val="false"/>
        <w:spacing w:lineRule="exact" w:line="300" w:before="120" w:after="0"/>
        <w:ind w:hanging="360" w:start="108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בגדרו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>.</w:t>
      </w:r>
    </w:p>
    <w:p>
      <w:pPr>
        <w:pStyle w:val="Normal"/>
        <w:snapToGrid w:val="false"/>
        <w:spacing w:before="120" w:after="0"/>
        <w:ind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napToGrid w:val="false"/>
        <w:spacing w:before="120" w:after="0"/>
        <w:ind w:hanging="360" w:start="360" w:end="0"/>
        <w:jc w:val="both"/>
        <w:rPr>
          <w:lang w:eastAsia="he-IL"/>
        </w:rPr>
      </w:pPr>
      <w:r>
        <w:rPr>
          <w:lang w:eastAsia="he-IL"/>
        </w:rPr>
        <w:t>15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napToGrid w:val="false"/>
        <w:spacing w:before="120" w:after="0"/>
        <w:ind w:end="0"/>
        <w:jc w:val="both"/>
        <w:rPr>
          <w:lang w:eastAsia="he-IL"/>
        </w:rPr>
      </w:pPr>
      <w:r>
        <w:rPr>
          <w:lang w:eastAsia="he-IL"/>
        </w:rPr>
        <w:t>16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Normal"/>
        <w:snapToGrid w:val="false"/>
        <w:spacing w:before="120" w:after="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napToGrid w:val="false"/>
        <w:spacing w:before="120" w:after="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בניגוד</w:t>
      </w:r>
      <w:r>
        <w:rPr>
          <w:rFonts w:cs="Times New Roman"/>
          <w:rtl w:val="true"/>
          <w:lang w:eastAsia="he-IL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</w:hyperlink>
    </w:p>
    <w:p>
      <w:pPr>
        <w:pStyle w:val="Normal"/>
        <w:snapToGrid w:val="false"/>
        <w:spacing w:before="120" w:after="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hanging="720" w:start="1440" w:end="0"/>
        <w:jc w:val="both"/>
        <w:rPr>
          <w:rFonts w:ascii="David" w:hAnsi="David" w:eastAsia="David" w:cs="David"/>
          <w:sz w:val="22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</w:r>
      <w:r>
        <w:rPr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2"/>
        </w:rPr>
      </w:pPr>
      <w:r>
        <w:rPr>
          <w:sz w:val="22"/>
          <w:sz w:val="22"/>
          <w:rtl w:val="true"/>
        </w:rPr>
        <w:t>ההתחייבות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</w:p>
    <w:p>
      <w:pPr>
        <w:pStyle w:val="Normal"/>
        <w:snapToGrid w:val="false"/>
        <w:spacing w:before="120" w:after="0"/>
        <w:ind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napToGrid w:val="false"/>
        <w:spacing w:before="120" w:after="0"/>
        <w:ind w:end="0"/>
        <w:jc w:val="both"/>
        <w:rPr>
          <w:rFonts w:ascii="David" w:hAnsi="David" w:cs="David"/>
          <w:b/>
          <w:bCs/>
          <w:color w:val="000000"/>
          <w:lang w:eastAsia="he-IL"/>
        </w:rPr>
      </w:pPr>
      <w:r>
        <w:rPr>
          <w:b/>
          <w:b/>
          <w:bCs/>
          <w:rtl w:val="true"/>
          <w:lang w:eastAsia="he-IL"/>
        </w:rPr>
        <w:t>לאח</w:t>
      </w:r>
      <w:r>
        <w:rPr>
          <w:b/>
          <w:b/>
          <w:bCs/>
          <w:color w:val="000000"/>
          <w:rtl w:val="true"/>
          <w:lang w:eastAsia="he-IL"/>
        </w:rPr>
        <w:t>ר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היות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גזר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הדין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חלוט</w:t>
      </w:r>
      <w:r>
        <w:rPr>
          <w:b/>
          <w:bCs/>
          <w:color w:val="000000"/>
          <w:rtl w:val="true"/>
          <w:lang w:eastAsia="he-IL"/>
        </w:rPr>
        <w:t xml:space="preserve">, </w:t>
      </w:r>
      <w:r>
        <w:rPr>
          <w:b/>
          <w:b/>
          <w:bCs/>
          <w:color w:val="000000"/>
          <w:rtl w:val="true"/>
          <w:lang w:eastAsia="he-IL"/>
        </w:rPr>
        <w:t>אביזרי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הנשק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והתחמושת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יושמדו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או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יחולטו</w:t>
      </w:r>
      <w:r>
        <w:rPr>
          <w:b/>
          <w:bCs/>
          <w:color w:val="000000"/>
          <w:rtl w:val="true"/>
          <w:lang w:eastAsia="he-IL"/>
        </w:rPr>
        <w:t xml:space="preserve">, </w:t>
      </w:r>
      <w:r>
        <w:rPr>
          <w:b/>
          <w:b/>
          <w:bCs/>
          <w:color w:val="000000"/>
          <w:rtl w:val="true"/>
          <w:lang w:eastAsia="he-IL"/>
        </w:rPr>
        <w:t>לפי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שיקול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דעת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רשם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המוצגים</w:t>
      </w:r>
      <w:r>
        <w:rPr>
          <w:b/>
          <w:bCs/>
          <w:color w:val="000000"/>
          <w:rtl w:val="true"/>
          <w:lang w:eastAsia="he-IL"/>
        </w:rPr>
        <w:t>.</w:t>
      </w:r>
    </w:p>
    <w:p>
      <w:pPr>
        <w:pStyle w:val="Normal"/>
        <w:snapToGrid w:val="false"/>
        <w:spacing w:before="120" w:after="0"/>
        <w:ind w:end="0"/>
        <w:jc w:val="both"/>
        <w:rPr>
          <w:rFonts w:ascii="David" w:hAnsi="David" w:cs="David"/>
          <w:b/>
          <w:bCs/>
          <w:color w:val="000000"/>
          <w:lang w:eastAsia="he-IL"/>
        </w:rPr>
      </w:pPr>
      <w:r>
        <w:rPr>
          <w:rFonts w:cs="David" w:ascii="David" w:hAnsi="David"/>
          <w:b/>
          <w:bCs/>
          <w:color w:val="000000"/>
          <w:rtl w:val="true"/>
          <w:lang w:eastAsia="he-IL"/>
        </w:rPr>
      </w:r>
    </w:p>
    <w:p>
      <w:pPr>
        <w:pStyle w:val="Normal"/>
        <w:spacing w:lineRule="auto" w:line="276" w:before="0" w:after="20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זכות ערעור תוך </w:t>
      </w:r>
      <w:r>
        <w:rPr>
          <w:rFonts w:cs="Calibri" w:ascii="Calibri" w:hAnsi="Calibri"/>
          <w:b/>
          <w:bCs/>
          <w:sz w:val="22"/>
        </w:rPr>
        <w:t>45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יום לביהמ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 המחוזי</w:t>
      </w:r>
    </w:p>
    <w:p>
      <w:pPr>
        <w:pStyle w:val="Normal"/>
        <w:ind w:end="0"/>
        <w:jc w:val="both"/>
        <w:rPr>
          <w:rFonts w:ascii="David" w:hAnsi="David" w:eastAsia="David" w:cs="David"/>
          <w:sz w:val="22"/>
          <w:szCs w:val="22"/>
        </w:rPr>
      </w:pPr>
      <w:r>
        <w:rPr>
          <w:rFonts w:eastAsia="David" w:cs="David" w:ascii="David" w:hAnsi="David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color w:val="FFFFFF"/>
          <w:sz w:val="2"/>
          <w:szCs w:val="2"/>
        </w:rPr>
        <w:t>5129371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03/01/2018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נועה חקלאי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53098-05-17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אלכסנדר שטיינפאייר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5">
    <w:lvl w:ilvl="0">
      <w:start w:val="13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Times New Roman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Times New Roman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Times New Roman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2531551" TargetMode="External"/><Relationship Id="rId9" Type="http://schemas.openxmlformats.org/officeDocument/2006/relationships/hyperlink" Target="http://www.nevo.co.il/case/20262809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18099950" TargetMode="External"/><Relationship Id="rId12" Type="http://schemas.openxmlformats.org/officeDocument/2006/relationships/hyperlink" Target="http://www.nevo.co.il/case/2907465" TargetMode="External"/><Relationship Id="rId13" Type="http://schemas.openxmlformats.org/officeDocument/2006/relationships/hyperlink" Target="http://www.nevo.co.il/case/18066399" TargetMode="External"/><Relationship Id="rId14" Type="http://schemas.openxmlformats.org/officeDocument/2006/relationships/hyperlink" Target="http://www.nevo.co.il/case/13031045" TargetMode="External"/><Relationship Id="rId15" Type="http://schemas.openxmlformats.org/officeDocument/2006/relationships/hyperlink" Target="http://www.nevo.co.il/case/20724837" TargetMode="External"/><Relationship Id="rId16" Type="http://schemas.openxmlformats.org/officeDocument/2006/relationships/hyperlink" Target="http://www.nevo.co.il/case/3571201" TargetMode="External"/><Relationship Id="rId17" Type="http://schemas.openxmlformats.org/officeDocument/2006/relationships/hyperlink" Target="http://www.nevo.co.il/case/18071740" TargetMode="External"/><Relationship Id="rId18" Type="http://schemas.openxmlformats.org/officeDocument/2006/relationships/hyperlink" Target="http://www.nevo.co.il/case/8439165" TargetMode="External"/><Relationship Id="rId19" Type="http://schemas.openxmlformats.org/officeDocument/2006/relationships/hyperlink" Target="http://www.nevo.co.il/case/6161385" TargetMode="External"/><Relationship Id="rId20" Type="http://schemas.openxmlformats.org/officeDocument/2006/relationships/hyperlink" Target="http://www.nevo.co.il/case/581078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2018-10-18T12:22:00Z</dcterms:created>
  <dc:creator> </dc:creator>
  <dc:description/>
  <cp:keywords/>
  <dc:language>en-IL</dc:language>
  <cp:lastModifiedBy>h9</cp:lastModifiedBy>
  <dcterms:modified xsi:type="dcterms:W3CDTF">2018-10-18T12:22:00Z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אלכסנדר שטיינפאייר</vt:lpwstr>
  </property>
  <property fmtid="{D5CDD505-2E9C-101B-9397-08002B2CF9AE}" pid="4" name="CASESLISTTMP1">
    <vt:lpwstr>22531551;20262809;18099950;2907465;18066399;13031045;20724837;3571201;18071740;8439165;6161385;5810781</vt:lpwstr>
  </property>
  <property fmtid="{D5CDD505-2E9C-101B-9397-08002B2CF9AE}" pid="5" name="CITY">
    <vt:lpwstr>ק"ג</vt:lpwstr>
  </property>
  <property fmtid="{D5CDD505-2E9C-101B-9397-08002B2CF9AE}" pid="6" name="DATE">
    <vt:lpwstr>20180103</vt:lpwstr>
  </property>
  <property fmtid="{D5CDD505-2E9C-101B-9397-08002B2CF9AE}" pid="7" name="ISABSTRACT">
    <vt:lpwstr>Y</vt:lpwstr>
  </property>
  <property fmtid="{D5CDD505-2E9C-101B-9397-08002B2CF9AE}" pid="8" name="JUDGE">
    <vt:lpwstr>נועה חקלאי</vt:lpwstr>
  </property>
  <property fmtid="{D5CDD505-2E9C-101B-9397-08002B2CF9AE}" pid="9" name="LAWLISTTMP1">
    <vt:lpwstr>70301/144.a;144</vt:lpwstr>
  </property>
  <property fmtid="{D5CDD505-2E9C-101B-9397-08002B2CF9AE}" pid="10" name="LAWLISTTMP2">
    <vt:lpwstr>4216</vt:lpwstr>
  </property>
  <property fmtid="{D5CDD505-2E9C-101B-9397-08002B2CF9AE}" pid="11" name="NEWPARTA">
    <vt:lpwstr>53098</vt:lpwstr>
  </property>
  <property fmtid="{D5CDD505-2E9C-101B-9397-08002B2CF9AE}" pid="12" name="NEWPARTB">
    <vt:lpwstr>05</vt:lpwstr>
  </property>
  <property fmtid="{D5CDD505-2E9C-101B-9397-08002B2CF9AE}" pid="13" name="NEWPARTC">
    <vt:lpwstr>17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380020180103</vt:lpwstr>
  </property>
  <property fmtid="{D5CDD505-2E9C-101B-9397-08002B2CF9AE}" pid="18" name="TYPE_N_DATE">
    <vt:lpwstr>38020180103</vt:lpwstr>
  </property>
  <property fmtid="{D5CDD505-2E9C-101B-9397-08002B2CF9AE}" pid="19" name="WORDNUMPAGES">
    <vt:lpwstr>6</vt:lpwstr>
  </property>
</Properties>
</file>