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7"/>
        <w:gridCol w:w="1042"/>
        <w:gridCol w:w="3593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88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53154-06-12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דיין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4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93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7"/>
        <w:gridCol w:w="6965"/>
      </w:tblGrid>
      <w:tr>
        <w:trPr>
          <w:trHeight w:val="337" w:hRule="atLeast"/>
        </w:trPr>
        <w:tc>
          <w:tcPr>
            <w:tcW w:w="1557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965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53175-06-12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36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436"/>
        <w:gridCol w:w="628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 אליהו ביתן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רז דיין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דרור שטורק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יוסי לין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  <w:t>&lt;</w:t>
      </w:r>
      <w:r>
        <w:rPr>
          <w:b w:val="false"/>
          <w:bCs w:val="false"/>
          <w:sz w:val="6"/>
          <w:szCs w:val="6"/>
          <w:u w:val="none"/>
        </w:rPr>
        <w:t>#2#</w:t>
      </w:r>
      <w:r>
        <w:rPr>
          <w:b w:val="false"/>
          <w:bCs w:val="false"/>
          <w:sz w:val="6"/>
          <w:szCs w:val="6"/>
          <w:u w:val="none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 xml:space="preserve">הנאשם הודה כי קשר קשר עם אחר </w:t>
      </w:r>
      <w:r>
        <w:rPr>
          <w:rtl w:val="true"/>
        </w:rPr>
        <w:t xml:space="preserve">- </w:t>
      </w:r>
      <w:r>
        <w:rPr>
          <w:rtl w:val="true"/>
        </w:rPr>
        <w:t xml:space="preserve">אדי מכלוף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אדי</w:t>
      </w:r>
      <w:r>
        <w:rPr>
          <w:rtl w:val="true"/>
        </w:rPr>
        <w:t xml:space="preserve">") </w:t>
      </w:r>
      <w:r>
        <w:rPr>
          <w:rtl w:val="true"/>
        </w:rPr>
        <w:t xml:space="preserve">להניח חומר נפיץ בנכסיו של אלי בן לולו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בן לולו</w:t>
      </w:r>
      <w:r>
        <w:rPr>
          <w:rtl w:val="true"/>
        </w:rPr>
        <w:t xml:space="preserve">"). </w:t>
      </w:r>
      <w:r>
        <w:rPr>
          <w:rtl w:val="true"/>
        </w:rPr>
        <w:t xml:space="preserve">בתאריך </w:t>
      </w:r>
      <w:r>
        <w:rPr/>
        <w:t>27.01.12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יצאו הנאשם ואדי ברכבו של הנאשם</w:t>
      </w:r>
      <w:r>
        <w:rPr>
          <w:rtl w:val="true"/>
        </w:rPr>
        <w:t xml:space="preserve">, </w:t>
      </w:r>
      <w:r>
        <w:rPr>
          <w:rtl w:val="true"/>
        </w:rPr>
        <w:t>ממסיבת בר המצווה של בנו של אדי</w:t>
      </w:r>
      <w:r>
        <w:rPr>
          <w:rtl w:val="true"/>
        </w:rPr>
        <w:t xml:space="preserve">, </w:t>
      </w:r>
      <w:r>
        <w:rPr>
          <w:rtl w:val="true"/>
        </w:rPr>
        <w:t>ונסעו לאזור מושב בית שקמה</w:t>
      </w:r>
      <w:r>
        <w:rPr>
          <w:rtl w:val="true"/>
        </w:rPr>
        <w:t xml:space="preserve">. </w:t>
      </w:r>
      <w:bookmarkStart w:id="7" w:name="ABSTRACT_END"/>
      <w:bookmarkEnd w:id="7"/>
    </w:p>
    <w:p>
      <w:pPr>
        <w:pStyle w:val="Normal"/>
        <w:autoSpaceDE w:val="false"/>
        <w:spacing w:lineRule="auto" w:line="360"/>
        <w:ind w:start="720" w:end="0"/>
        <w:jc w:val="start"/>
        <w:rPr/>
      </w:pPr>
      <w:r>
        <w:rPr>
          <w:rtl w:val="true"/>
        </w:rPr>
        <w:t xml:space="preserve">אדי יצא מהרכב והביא אתו לרכב מטען חבלה </w:t>
      </w:r>
      <w:r>
        <w:rPr>
          <w:rtl w:val="true"/>
        </w:rPr>
        <w:t>(</w:t>
      </w:r>
      <w:r>
        <w:rPr>
          <w:rtl w:val="true"/>
        </w:rPr>
        <w:t>מטען צינור</w:t>
      </w:r>
      <w:r>
        <w:rPr>
          <w:rtl w:val="true"/>
        </w:rPr>
        <w:t xml:space="preserve">).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אדי והנאשם הגיעו לביתו של בן לולו במושב שחר והניחו את מטען החבלה בסמוך לגלגל הרכב שלו</w:t>
      </w:r>
      <w:r>
        <w:rPr>
          <w:rtl w:val="true"/>
        </w:rPr>
        <w:t xml:space="preserve">. </w:t>
      </w:r>
      <w:r>
        <w:rPr>
          <w:rtl w:val="true"/>
        </w:rPr>
        <w:t xml:space="preserve">בסמוך לשעה </w:t>
      </w:r>
      <w:r>
        <w:rPr/>
        <w:t>03:00</w:t>
      </w:r>
      <w:r>
        <w:rPr>
          <w:rtl w:val="true"/>
        </w:rPr>
        <w:t xml:space="preserve">, </w:t>
      </w:r>
      <w:r>
        <w:rPr>
          <w:rtl w:val="true"/>
        </w:rPr>
        <w:t>יצא בן לולו מביתו כדי לאסוף את בתו</w:t>
      </w:r>
      <w:r>
        <w:rPr>
          <w:rtl w:val="true"/>
        </w:rPr>
        <w:t xml:space="preserve">, </w:t>
      </w:r>
      <w:r>
        <w:rPr>
          <w:rtl w:val="true"/>
        </w:rPr>
        <w:t>וכשחזר לביתו הבחין במטען החבלה</w:t>
      </w:r>
      <w:r>
        <w:rPr>
          <w:rtl w:val="true"/>
        </w:rPr>
        <w:t xml:space="preserve">, </w:t>
      </w:r>
      <w:r>
        <w:rPr>
          <w:rtl w:val="true"/>
        </w:rPr>
        <w:t>המחובר לטלפון סלולארי כאמצעי להפעלתו</w:t>
      </w:r>
      <w:r>
        <w:rPr>
          <w:rtl w:val="true"/>
        </w:rPr>
        <w:t xml:space="preserve">, </w:t>
      </w:r>
      <w:r>
        <w:rPr>
          <w:rtl w:val="true"/>
        </w:rPr>
        <w:t>על רצפת החנייה של רכבו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start"/>
        <w:rPr/>
      </w:pPr>
      <w:r>
        <w:rPr>
          <w:rtl w:val="true"/>
        </w:rPr>
        <w:t>על יסוד הודאת הנאשם כאמור</w:t>
      </w:r>
      <w:r>
        <w:rPr>
          <w:rtl w:val="true"/>
        </w:rPr>
        <w:t xml:space="preserve">, </w:t>
      </w:r>
      <w:r>
        <w:rPr>
          <w:rtl w:val="true"/>
        </w:rPr>
        <w:t>הוא הורשע בנשיאת והובלת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ובסיוע לניסיון להרוס נכס בחומר נפיץ</w:t>
      </w:r>
      <w:r>
        <w:rPr>
          <w:rtl w:val="true"/>
        </w:rPr>
        <w:t xml:space="preserve">, </w:t>
      </w:r>
      <w:r>
        <w:rPr>
          <w:rtl w:val="true"/>
        </w:rPr>
        <w:t xml:space="preserve">לפי סעיפים </w:t>
      </w:r>
      <w:r>
        <w:rPr/>
        <w:t>456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לחוק העונשין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תוקן כתב האישום המקורי שהוגש נגדו והצדדים</w:t>
      </w:r>
      <w:r>
        <w:rPr>
          <w:rtl w:val="true"/>
        </w:rPr>
        <w:t xml:space="preserve"> </w:t>
      </w:r>
      <w:r>
        <w:rPr>
          <w:rtl w:val="true"/>
        </w:rPr>
        <w:t xml:space="preserve">המליצו לבית המשפט להטיל עליו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מיום מעצרו</w:t>
      </w:r>
      <w:r>
        <w:rPr>
          <w:rtl w:val="true"/>
        </w:rPr>
        <w:t xml:space="preserve">- </w:t>
      </w:r>
      <w:r>
        <w:rPr/>
        <w:t>10.06.12</w:t>
      </w:r>
      <w:r>
        <w:rPr>
          <w:rtl w:val="true"/>
        </w:rPr>
        <w:t xml:space="preserve"> </w:t>
      </w:r>
      <w:r>
        <w:rPr>
          <w:rtl w:val="true"/>
        </w:rPr>
        <w:t>ומאסר על תנאי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התביעה הסביר את הסדר הטיעון בכך שהנאשם בחור צעיר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אשר שיתף פעולה עם המשטרה</w:t>
      </w:r>
      <w:r>
        <w:rPr>
          <w:rtl w:val="true"/>
        </w:rPr>
        <w:t xml:space="preserve">, </w:t>
      </w:r>
      <w:r>
        <w:rPr>
          <w:rtl w:val="true"/>
        </w:rPr>
        <w:t>הודה בביצוע המעשים והוביל לחשיפת הפרשה</w:t>
      </w:r>
      <w:r>
        <w:rPr>
          <w:rtl w:val="true"/>
        </w:rPr>
        <w:t xml:space="preserve">. </w:t>
      </w:r>
      <w:r>
        <w:rPr>
          <w:rtl w:val="true"/>
        </w:rPr>
        <w:t>ובכך שהודאת הנאשם תחסוך זמן שיפוט</w:t>
      </w:r>
      <w:r>
        <w:rPr>
          <w:rtl w:val="true"/>
        </w:rPr>
        <w:t xml:space="preserve">, </w:t>
      </w:r>
      <w:r>
        <w:rPr>
          <w:rtl w:val="true"/>
        </w:rPr>
        <w:t>וביקש לאמץ את הסדר הטיעון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הצטרף לבקשה</w:t>
      </w:r>
      <w:r>
        <w:rPr>
          <w:rtl w:val="true"/>
        </w:rPr>
        <w:t xml:space="preserve">, </w:t>
      </w:r>
      <w:r>
        <w:rPr>
          <w:rtl w:val="true"/>
        </w:rPr>
        <w:t>והוסיף כי  חלקו של הנאשם בפרשה</w:t>
      </w:r>
      <w:r>
        <w:rPr>
          <w:rtl w:val="true"/>
        </w:rPr>
        <w:t xml:space="preserve">, </w:t>
      </w:r>
      <w:r>
        <w:rPr>
          <w:rtl w:val="true"/>
        </w:rPr>
        <w:t>משני</w:t>
      </w:r>
      <w:r>
        <w:rPr>
          <w:rtl w:val="true"/>
        </w:rPr>
        <w:t xml:space="preserve">, </w:t>
      </w:r>
      <w:r>
        <w:rPr>
          <w:rtl w:val="true"/>
        </w:rPr>
        <w:t>וכי הוא נגרר על ידי שותפו לעבירה</w:t>
      </w:r>
      <w:r>
        <w:rPr>
          <w:rtl w:val="true"/>
        </w:rPr>
        <w:t xml:space="preserve">, </w:t>
      </w:r>
      <w:r>
        <w:rPr>
          <w:rtl w:val="true"/>
        </w:rPr>
        <w:t>המבוגר ממנו בשנים רבות</w:t>
      </w:r>
      <w:r>
        <w:rPr>
          <w:rtl w:val="true"/>
        </w:rPr>
        <w:t xml:space="preserve">. </w:t>
      </w:r>
      <w:r>
        <w:rPr>
          <w:rtl w:val="true"/>
        </w:rPr>
        <w:t>עוד הוסיף</w:t>
      </w:r>
      <w:r>
        <w:rPr>
          <w:rtl w:val="true"/>
        </w:rPr>
        <w:t xml:space="preserve">, </w:t>
      </w:r>
      <w:r>
        <w:rPr>
          <w:rtl w:val="true"/>
        </w:rPr>
        <w:t>כי הקשר של הנאשם עם שותפו לעבירה נותק כחודשיים לאחר ביצוע המעשים</w:t>
      </w:r>
      <w:r>
        <w:rPr>
          <w:rtl w:val="true"/>
        </w:rPr>
        <w:t xml:space="preserve">, </w:t>
      </w:r>
      <w:r>
        <w:rPr>
          <w:rtl w:val="true"/>
        </w:rPr>
        <w:t>וכארבעה חודשים טרם מעצרו</w:t>
      </w:r>
      <w:r>
        <w:rPr>
          <w:rtl w:val="true"/>
        </w:rPr>
        <w:t xml:space="preserve">.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 ההסכמה על העונש המומלץ הושגה לאחר הליך של גישור וכי שירות המבחן ממליץ לאמץ את ההסדר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 הביע חרטה על מעשיו והצהיר כי הוא מתכוון לעלות על דרך הישר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 המבחן הגיש תסקיר על הנאשם</w:t>
      </w:r>
      <w:r>
        <w:rPr>
          <w:rtl w:val="true"/>
        </w:rPr>
        <w:t xml:space="preserve">, </w:t>
      </w:r>
      <w:r>
        <w:rPr>
          <w:rtl w:val="true"/>
        </w:rPr>
        <w:t>שעיקריו הם כדלהלן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720" w:end="0"/>
        <w:jc w:val="start"/>
        <w:rPr/>
      </w:pPr>
      <w:r>
        <w:rPr>
          <w:rtl w:val="true"/>
        </w:rPr>
        <w:t xml:space="preserve">הנאשם כבן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 xml:space="preserve">בוגר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בעל תעודת בגרות מלאה ומוסמך כטכנאי מכונות וחשמלאות רכב</w:t>
      </w:r>
      <w:r>
        <w:rPr>
          <w:rtl w:val="true"/>
        </w:rPr>
        <w:t xml:space="preserve">. </w:t>
      </w:r>
      <w:r>
        <w:rPr>
          <w:rtl w:val="true"/>
        </w:rPr>
        <w:t>הצטיין בלימודיו והיה אמור להתגייס לצה</w:t>
      </w:r>
      <w:r>
        <w:rPr>
          <w:rtl w:val="true"/>
        </w:rPr>
        <w:t>"</w:t>
      </w:r>
      <w:r>
        <w:rPr>
          <w:rtl w:val="true"/>
        </w:rPr>
        <w:t>ל כשבוע לפני מעצרו</w:t>
      </w:r>
      <w:r>
        <w:rPr>
          <w:rtl w:val="true"/>
        </w:rPr>
        <w:t xml:space="preserve">. </w:t>
      </w:r>
      <w:r>
        <w:rPr>
          <w:rtl w:val="true"/>
        </w:rPr>
        <w:t>עד לעבירה כאן</w:t>
      </w:r>
      <w:r>
        <w:rPr>
          <w:rtl w:val="true"/>
        </w:rPr>
        <w:t xml:space="preserve">, </w:t>
      </w:r>
      <w:r>
        <w:rPr>
          <w:rtl w:val="true"/>
        </w:rPr>
        <w:t>לא היה מעורב בעבריינות כלשהי</w:t>
      </w:r>
      <w:r>
        <w:rPr>
          <w:rtl w:val="true"/>
        </w:rPr>
        <w:t xml:space="preserve">. </w:t>
      </w:r>
      <w:r>
        <w:rPr>
          <w:rtl w:val="true"/>
        </w:rPr>
        <w:t>בתקופה שלפני ביצוע העבירה התחבר לאחר</w:t>
      </w:r>
      <w:r>
        <w:rPr>
          <w:rtl w:val="true"/>
        </w:rPr>
        <w:t xml:space="preserve">, </w:t>
      </w:r>
      <w:r>
        <w:rPr>
          <w:rtl w:val="true"/>
        </w:rPr>
        <w:t>שבהשפעתו ביצע את העבירה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רמת האינטלגנציה של הנאשם תקינה וכך גם יכולותיו בתחומי התעסוקה והלימוד</w:t>
      </w:r>
      <w:r>
        <w:rPr>
          <w:rtl w:val="true"/>
        </w:rPr>
        <w:t xml:space="preserve">; </w:t>
      </w:r>
      <w:r>
        <w:rPr>
          <w:rtl w:val="true"/>
        </w:rPr>
        <w:t>התחברותו לחברה שולית נועדה למצוא מענה למופנמותו ולדימויו העצמי הנמוך</w:t>
      </w:r>
      <w:r>
        <w:rPr>
          <w:rtl w:val="true"/>
        </w:rPr>
        <w:t xml:space="preserve">; </w:t>
      </w:r>
      <w:r>
        <w:rPr>
          <w:rtl w:val="true"/>
        </w:rPr>
        <w:t>וההליכים המשפטיים מהווים עבורו גורם מרתיע ומציב גבולות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720" w:end="0"/>
        <w:jc w:val="start"/>
        <w:rPr/>
      </w:pPr>
      <w:r>
        <w:rPr>
          <w:rtl w:val="true"/>
        </w:rPr>
        <w:t>לאור מאפייניו של הנאשם</w:t>
      </w:r>
      <w:r>
        <w:rPr>
          <w:rtl w:val="true"/>
        </w:rPr>
        <w:t xml:space="preserve">, </w:t>
      </w:r>
      <w:r>
        <w:rPr>
          <w:rtl w:val="true"/>
        </w:rPr>
        <w:t>העובדה שהוא בעל מערכת ערכים נורמטיבית בבסיסה</w:t>
      </w:r>
      <w:r>
        <w:rPr>
          <w:rtl w:val="true"/>
        </w:rPr>
        <w:t xml:space="preserve">, </w:t>
      </w:r>
      <w:r>
        <w:rPr>
          <w:rtl w:val="true"/>
        </w:rPr>
        <w:t>ויכולתו הראשונית לראות את האפשרות לפגיעה באחר</w:t>
      </w:r>
      <w:r>
        <w:rPr>
          <w:rtl w:val="true"/>
        </w:rPr>
        <w:t xml:space="preserve">, </w:t>
      </w:r>
      <w:r>
        <w:rPr>
          <w:rtl w:val="true"/>
        </w:rPr>
        <w:t>ובהתייחס לעבירה החמורה בה הורשע ולטשטוש הערכי והרציונליזציה שהוא עורך לחלקו בעבירה</w:t>
      </w:r>
      <w:r>
        <w:rPr>
          <w:rtl w:val="true"/>
        </w:rPr>
        <w:t xml:space="preserve">, </w:t>
      </w:r>
      <w:r>
        <w:rPr>
          <w:rtl w:val="true"/>
        </w:rPr>
        <w:t>סבר שירות המבחן כי הסדר הטיעון שהושג מתאים למצבו של הנאשם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הסכנה הכרוכה בהתפוצצות מטען חבלה </w:t>
      </w:r>
      <w:r>
        <w:rPr>
          <w:rtl w:val="true"/>
        </w:rPr>
        <w:t xml:space="preserve">- </w:t>
      </w:r>
      <w:r>
        <w:rPr>
          <w:rtl w:val="true"/>
        </w:rPr>
        <w:t>באופן יזום או על רקע תקלה</w:t>
      </w:r>
      <w:r>
        <w:rPr>
          <w:rtl w:val="true"/>
        </w:rPr>
        <w:t xml:space="preserve">, </w:t>
      </w:r>
      <w:r>
        <w:rPr>
          <w:rtl w:val="true"/>
        </w:rPr>
        <w:t>למושא הפגיעה</w:t>
      </w:r>
      <w:r>
        <w:rPr>
          <w:rtl w:val="true"/>
        </w:rPr>
        <w:t xml:space="preserve">, </w:t>
      </w:r>
      <w:r>
        <w:rPr>
          <w:rtl w:val="true"/>
        </w:rPr>
        <w:t>לעוברי אורח תמימים ולאלה הנושאים והמניחים אותו</w:t>
      </w:r>
      <w:r>
        <w:rPr>
          <w:rtl w:val="true"/>
        </w:rPr>
        <w:t xml:space="preserve">, </w:t>
      </w:r>
      <w:r>
        <w:rPr>
          <w:rtl w:val="true"/>
        </w:rPr>
        <w:t>ברורה מאליה</w:t>
      </w:r>
      <w:r>
        <w:rPr>
          <w:rtl w:val="true"/>
        </w:rPr>
        <w:t xml:space="preserve">, </w:t>
      </w:r>
      <w:r>
        <w:rPr>
          <w:rtl w:val="true"/>
        </w:rPr>
        <w:t>והיא חמורה ביותר</w:t>
      </w:r>
      <w:r>
        <w:rPr>
          <w:rtl w:val="true"/>
        </w:rPr>
        <w:t xml:space="preserve">. </w:t>
      </w:r>
      <w:r>
        <w:rPr>
          <w:rtl w:val="true"/>
        </w:rPr>
        <w:t>הפיצוץ עצמו</w:t>
      </w:r>
      <w:r>
        <w:rPr>
          <w:rtl w:val="true"/>
        </w:rPr>
        <w:t xml:space="preserve">, </w:t>
      </w:r>
      <w:r>
        <w:rPr>
          <w:rtl w:val="true"/>
        </w:rPr>
        <w:t>הוא בעל פוטנציאל פוגעני ישיר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הוא יכול לגרום לתגובת שרשרת </w:t>
      </w:r>
      <w:r>
        <w:rPr>
          <w:rtl w:val="true"/>
        </w:rPr>
        <w:t xml:space="preserve">- </w:t>
      </w:r>
      <w:r>
        <w:rPr>
          <w:rtl w:val="true"/>
        </w:rPr>
        <w:t>פיצוץ משני</w:t>
      </w:r>
      <w:r>
        <w:rPr>
          <w:rtl w:val="true"/>
        </w:rPr>
        <w:t xml:space="preserve">, </w:t>
      </w:r>
      <w:r>
        <w:rPr>
          <w:rtl w:val="true"/>
        </w:rPr>
        <w:t>שריפה וכיוב</w:t>
      </w:r>
      <w:r>
        <w:rPr>
          <w:rtl w:val="true"/>
        </w:rPr>
        <w:t xml:space="preserve">' </w:t>
      </w:r>
      <w:r>
        <w:rPr>
          <w:rtl w:val="true"/>
        </w:rPr>
        <w:t>של חומרים מתלקחים או מתפוצצים שיושפעו ממנו</w:t>
      </w:r>
      <w:r>
        <w:rPr>
          <w:rtl w:val="true"/>
        </w:rPr>
        <w:t xml:space="preserve">, </w:t>
      </w:r>
      <w:r>
        <w:rPr>
          <w:rtl w:val="true"/>
        </w:rPr>
        <w:t>ובמקרים שהפיצוץ מתרחש בכלי רכב או בקרבתו</w:t>
      </w:r>
      <w:r>
        <w:rPr>
          <w:rtl w:val="true"/>
        </w:rPr>
        <w:t xml:space="preserve">, </w:t>
      </w:r>
      <w:r>
        <w:rPr>
          <w:rtl w:val="true"/>
        </w:rPr>
        <w:t>הוא יכול לגרום לפגיעה בכלי רכב נוספים ובאנשים שבהם ובקרבתם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בשנים האחרונות</w:t>
      </w:r>
      <w:r>
        <w:rPr>
          <w:rtl w:val="true"/>
        </w:rPr>
        <w:t xml:space="preserve">, </w:t>
      </w:r>
      <w:r>
        <w:rPr>
          <w:rtl w:val="true"/>
        </w:rPr>
        <w:t>כחלק מההסלמה הכללית באלימות העבריינים</w:t>
      </w:r>
      <w:r>
        <w:rPr>
          <w:rtl w:val="true"/>
        </w:rPr>
        <w:t xml:space="preserve">, </w:t>
      </w:r>
      <w:r>
        <w:rPr>
          <w:rtl w:val="true"/>
        </w:rPr>
        <w:t>ועל רקע זמינותם הגבוהה של כלי נשק וחומרי חבלה</w:t>
      </w:r>
      <w:r>
        <w:rPr>
          <w:rtl w:val="true"/>
        </w:rPr>
        <w:t xml:space="preserve">, </w:t>
      </w:r>
      <w:r>
        <w:rPr>
          <w:rtl w:val="true"/>
        </w:rPr>
        <w:t>התגברה תופעת השימוש העברייני במטעני חבלה</w:t>
      </w:r>
      <w:r>
        <w:rPr>
          <w:rtl w:val="true"/>
        </w:rPr>
        <w:t xml:space="preserve">. </w:t>
      </w:r>
      <w:r>
        <w:rPr>
          <w:rtl w:val="true"/>
        </w:rPr>
        <w:t>שימוש כזה גרם לפגיעות בנפש וברכוש</w:t>
      </w:r>
      <w:r>
        <w:rPr>
          <w:rtl w:val="true"/>
        </w:rPr>
        <w:t xml:space="preserve">, </w:t>
      </w:r>
      <w:r>
        <w:rPr>
          <w:rtl w:val="true"/>
        </w:rPr>
        <w:t>של אלה שכלפיהם כוונה הפגיעה ושל אחרים</w:t>
      </w:r>
      <w:r>
        <w:rPr>
          <w:rtl w:val="true"/>
        </w:rPr>
        <w:t xml:space="preserve">,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המדובר בתופעה חמורה ומסוכנת שיש להילחם בה בתוקף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ראוי להטיל על  מי שמעורב בכך</w:t>
      </w:r>
      <w:r>
        <w:rPr>
          <w:rtl w:val="true"/>
        </w:rPr>
        <w:t xml:space="preserve">, </w:t>
      </w:r>
      <w:r>
        <w:rPr>
          <w:rtl w:val="true"/>
        </w:rPr>
        <w:t>עונשים משמעותיים</w:t>
      </w:r>
      <w:r>
        <w:rPr>
          <w:rtl w:val="true"/>
        </w:rPr>
        <w:t xml:space="preserve">, </w:t>
      </w:r>
      <w:r>
        <w:rPr>
          <w:rtl w:val="true"/>
        </w:rPr>
        <w:t>חמורים מאלה שהוטלו בעבר</w:t>
      </w:r>
      <w:r>
        <w:rPr>
          <w:rtl w:val="true"/>
        </w:rPr>
        <w:t xml:space="preserve">.  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לאחר ששקלתי בדבר החלטתי לאמץ את הסדר הטיעון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הודאת הנאשם ניתנה במסגרת הסדר טיעון שכלל הסכמה על המלצה משותפת בדבר העונש שיוטל עליו</w:t>
      </w:r>
      <w:r>
        <w:rPr>
          <w:rtl w:val="true"/>
        </w:rPr>
        <w:t>.</w:t>
      </w:r>
      <w:r>
        <w:rPr>
          <w:b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b/>
          <w:rtl w:val="true"/>
        </w:rPr>
        <w:t>"</w:t>
      </w:r>
      <w:r>
        <w:rPr>
          <w:b/>
          <w:b/>
          <w:rtl w:val="true"/>
        </w:rPr>
        <w:t xml:space="preserve">הסדר טיעון </w:t>
      </w:r>
      <w:r>
        <w:rPr>
          <w:rtl w:val="true"/>
        </w:rPr>
        <w:t>– באשר הוא – אינו רק שיקול אחד ככל יתר השיקולים העומדים בפני 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 הגוזר את העונש</w:t>
      </w:r>
      <w:r>
        <w:rPr>
          <w:rtl w:val="true"/>
        </w:rPr>
        <w:t xml:space="preserve">. </w:t>
      </w:r>
      <w:r>
        <w:rPr>
          <w:rtl w:val="true"/>
        </w:rPr>
        <w:t>הסדר טיעון</w:t>
      </w:r>
      <w:r>
        <w:rPr>
          <w:rtl w:val="true"/>
        </w:rPr>
        <w:t xml:space="preserve">, </w:t>
      </w:r>
      <w:r>
        <w:rPr>
          <w:rtl w:val="true"/>
        </w:rPr>
        <w:t>כשהוא לעצמו</w:t>
      </w:r>
      <w:r>
        <w:rPr>
          <w:rtl w:val="true"/>
        </w:rPr>
        <w:t xml:space="preserve">, </w:t>
      </w:r>
      <w:r>
        <w:rPr>
          <w:rtl w:val="true"/>
        </w:rPr>
        <w:t>הוא שיקול מרכזי בגזירת הדין הן מטעמים של אינטרס הציבור הן כדי למלא אחר ציפיות הנאשם המוותר בהודאתו על זכותו לניהול ההליך הפלילי עד תומו</w:t>
      </w:r>
      <w:r>
        <w:rPr>
          <w:rtl w:val="true"/>
        </w:rPr>
        <w:t xml:space="preserve">. </w:t>
      </w:r>
      <w:r>
        <w:rPr>
          <w:rtl w:val="true"/>
        </w:rPr>
        <w:t>האינטרס הציבורי במובנו הרחב מחייב את בתי</w:t>
      </w:r>
      <w:r>
        <w:rPr>
          <w:vertAlign w:val="superscript"/>
          <w:rtl w:val="true"/>
        </w:rPr>
        <w:t>-</w:t>
      </w:r>
      <w:r>
        <w:rPr>
          <w:rtl w:val="true"/>
        </w:rPr>
        <w:t>המשפט לעודד קיומם של הסדרי טיעון</w:t>
      </w:r>
      <w:r>
        <w:rPr>
          <w:rtl w:val="true"/>
        </w:rPr>
        <w:t xml:space="preserve">. </w:t>
      </w:r>
      <w:r>
        <w:rPr>
          <w:rtl w:val="true"/>
        </w:rPr>
        <w:t>קיום הסדרי טיעון מאפשר פריסה רחבה יותר של אכיפת החוק</w:t>
      </w:r>
      <w:r>
        <w:rPr>
          <w:rtl w:val="true"/>
        </w:rPr>
        <w:t xml:space="preserve">, </w:t>
      </w:r>
      <w:r>
        <w:rPr>
          <w:rtl w:val="true"/>
        </w:rPr>
        <w:t>ובכך יש כוח מרתיע כשלעצמו</w:t>
      </w:r>
      <w:r>
        <w:rPr>
          <w:rtl w:val="true"/>
        </w:rPr>
        <w:t xml:space="preserve">, </w:t>
      </w:r>
      <w:r>
        <w:rPr>
          <w:rtl w:val="true"/>
        </w:rPr>
        <w:t>העשוי לאזן את אפקט ההקלה בעונש במקרה הקונקרטי</w:t>
      </w:r>
      <w:r>
        <w:rPr>
          <w:rtl w:val="true"/>
        </w:rPr>
        <w:t>. ...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 יראה לקיים את הסדר הטיעון בשל הטעמים הקשורים בחשיבותם ובמעמדם של הסדרי הטיעון</w:t>
      </w:r>
      <w:r>
        <w:rPr>
          <w:rtl w:val="true"/>
        </w:rPr>
        <w:t xml:space="preserve">." - </w:t>
      </w:r>
      <w:r>
        <w:rPr>
          <w:rFonts w:ascii="FrankRuehl" w:hAnsi="FrankRuehl" w:cs="FrankRuehl"/>
          <w:color w:val="000000"/>
          <w:rtl w:val="true"/>
        </w:rPr>
        <w:t>ע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פ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1958/98</w:t>
      </w:r>
      <w:r>
        <w:rPr>
          <w:rFonts w:cs="David"/>
          <w:color w:val="000000"/>
          <w:rtl w:val="true"/>
        </w:rPr>
        <w:t>‏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פלוני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פ</w:t>
      </w:r>
      <w:r>
        <w:rPr>
          <w:rFonts w:cs="FrankRuehl" w:ascii="FrankRuehl" w:hAnsi="FrankRuehl"/>
          <w:color w:val="000000"/>
          <w:rtl w:val="true"/>
        </w:rPr>
        <w:t>''</w:t>
      </w:r>
      <w:r>
        <w:rPr>
          <w:rFonts w:ascii="FrankRuehl" w:hAnsi="FrankRuehl" w:cs="FrankRuehl"/>
          <w:color w:val="000000"/>
          <w:rtl w:val="true"/>
        </w:rPr>
        <w:t>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נז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cs="FrankRuehl" w:ascii="FrankRuehl" w:hAnsi="FrankRuehl"/>
          <w:color w:val="000000"/>
        </w:rPr>
        <w:t>577</w:t>
      </w:r>
      <w:r>
        <w:rPr>
          <w:rFonts w:cs="FrankRuehl" w:ascii="FrankRuehl" w:hAnsi="FrankRuehl"/>
          <w:color w:val="000000"/>
          <w:rtl w:val="true"/>
        </w:rPr>
        <w:t xml:space="preserve"> 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tl w:val="true"/>
        </w:rPr>
        <w:t>כתב האישום המקורי שהוגש נגד הנאשם תוקן באופן שעובדותיו שונו מהותית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סעיף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האישום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החמור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שנכלל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בו</w:t>
      </w:r>
      <w:r>
        <w:rPr>
          <w:rFonts w:ascii="FrankRuehl" w:hAnsi="FrankRuehl" w:cs="FrankRuehl"/>
          <w:color w:val="000000"/>
          <w:rtl w:val="true"/>
        </w:rPr>
        <w:t xml:space="preserve"> – </w:t>
      </w:r>
      <w:r>
        <w:rPr>
          <w:rFonts w:ascii="FrankRuehl" w:hAnsi="FrankRuehl" w:cs="FrankRuehl"/>
          <w:color w:val="000000"/>
          <w:rtl w:val="true"/>
        </w:rPr>
        <w:t>סעיף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329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</w:t>
      </w: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נמחק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ויוחסה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עבירת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סיוע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לניסיון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חלקו של הנאשם בפרשה קטן יחסית ונראה שהוא הושפע מאחר</w:t>
      </w:r>
      <w:r>
        <w:rPr>
          <w:rtl w:val="true"/>
        </w:rPr>
        <w:t xml:space="preserve">, </w:t>
      </w:r>
      <w:r>
        <w:rPr>
          <w:rtl w:val="true"/>
        </w:rPr>
        <w:t>המבוגר ממנו בשנים רבות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 צעיר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אשר עד להסתבכותו זו ניהל חיים נורמטיביים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 הודה במשטרה</w:t>
      </w:r>
      <w:r>
        <w:rPr>
          <w:rtl w:val="true"/>
        </w:rPr>
        <w:t xml:space="preserve">, </w:t>
      </w:r>
      <w:r>
        <w:rPr>
          <w:rtl w:val="true"/>
        </w:rPr>
        <w:t>שיתף פעולה בחקירתו וסייע לחשיפת הפרשה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שוהה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במעצר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שתנאיו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קשים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קרוב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לשמונה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חודשים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ז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תסקיר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שירות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המבחן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נותן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תקווה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לשיקומו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וממליץ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לאמץ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הסדר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הטיעון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בהתחשב בכל האמור אני מטיל</w:t>
      </w:r>
      <w:r>
        <w:rPr>
          <w:rtl w:val="true"/>
        </w:rPr>
        <w:t xml:space="preserve"> </w:t>
      </w:r>
      <w:r>
        <w:rPr>
          <w:rtl w:val="true"/>
        </w:rPr>
        <w:t>על הנאשם את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1440" w:end="0"/>
        <w:jc w:val="start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מניינם</w:t>
      </w:r>
      <w:r>
        <w:rPr>
          <w:rtl w:val="true"/>
        </w:rPr>
        <w:t xml:space="preserve">, </w:t>
      </w:r>
      <w:r>
        <w:rPr>
          <w:rtl w:val="true"/>
        </w:rPr>
        <w:t xml:space="preserve">מיום מעצרו </w:t>
      </w:r>
      <w:r>
        <w:rPr/>
        <w:t>10.06.12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hanging="720" w:start="1440" w:end="0"/>
        <w:jc w:val="start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מהמאסר</w:t>
      </w:r>
      <w:r>
        <w:rPr>
          <w:rtl w:val="true"/>
        </w:rPr>
        <w:t xml:space="preserve">, </w:t>
      </w:r>
      <w:r>
        <w:rPr>
          <w:rtl w:val="true"/>
        </w:rPr>
        <w:t>שלא יעבור עבירת פשע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27/02/2013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lang w:val="en-IL" w:eastAsia="en-IL"/>
              </w:rPr>
              <w:t>54678313</w:t>
            </w:r>
            <w:r>
              <w:rPr>
                <w:rFonts w:eastAsia="Times New Roman"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1143000" cy="676275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1" t="-53" r="-31" b="-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אליהו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ביתן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Ruller4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Ruller4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53154-06-12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רז דיין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ind w:hanging="0" w:start="0" w:end="0"/>
      <w:jc w:val="start"/>
    </w:pPr>
    <w:rPr>
      <w:sz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ind w:hanging="0" w:start="0" w:end="0"/>
      <w:jc w:val="both"/>
    </w:pPr>
    <w:rPr>
      <w:rFonts w:ascii="Arial TUR;Arial" w:hAnsi="Arial TUR;Arial" w:cs="Arial TUR;Arial"/>
      <w:sz w:val="22"/>
    </w:rPr>
  </w:style>
  <w:style w:type="paragraph" w:styleId="Ruller5">
    <w:name w:val="Ruller5"/>
    <w:basedOn w:val="Normal"/>
    <w:qFormat/>
    <w:pPr>
      <w:spacing w:lineRule="auto" w:line="240"/>
      <w:ind w:hanging="0" w:start="1644" w:end="1276"/>
      <w:jc w:val="both"/>
    </w:pPr>
    <w:rPr>
      <w:rFonts w:ascii="Arial TUR;Arial" w:hAnsi="Arial TUR;Arial" w:cs="Arial TUR;Arial"/>
      <w:sz w:val="22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2013-03-03T09:19:00Z</dcterms:created>
  <dc:creator> </dc:creator>
  <dc:description/>
  <cp:keywords/>
  <dc:language>en-IL</dc:language>
  <cp:lastModifiedBy>user</cp:lastModifiedBy>
  <cp:lastPrinted>2001-04-02T12:51:00Z</cp:lastPrinted>
  <dcterms:modified xsi:type="dcterms:W3CDTF">2013-03-03T09:47:00Z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רז דיין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20130227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אליהו ביתן</vt:lpwstr>
  </property>
  <property fmtid="{D5CDD505-2E9C-101B-9397-08002B2CF9AE}" pid="13" name="LAWYER">
    <vt:lpwstr>דרור שטורק;יוסי לין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53154</vt:lpwstr>
  </property>
  <property fmtid="{D5CDD505-2E9C-101B-9397-08002B2CF9AE}" pid="20" name="NEWPARTB">
    <vt:lpwstr>06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390020130227</vt:lpwstr>
  </property>
  <property fmtid="{D5CDD505-2E9C-101B-9397-08002B2CF9AE}" pid="32" name="TYPE_N_DATE">
    <vt:lpwstr>39020130227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