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בעכו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53239-10-21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חמוד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שושנה פיינסוד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שלוחת התביעות גליל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אחמד חמוד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יוסף שלבי ומוחמד שעבאן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-142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על פי הכרעת דין מיום </w:t>
      </w:r>
      <w:r>
        <w:rPr>
          <w:rFonts w:cs="Arial" w:ascii="Arial" w:hAnsi="Arial"/>
        </w:rPr>
        <w:t>10.5.22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b/>
          <w:b/>
          <w:bCs/>
          <w:rtl w:val="true"/>
        </w:rPr>
        <w:t>עבירת ניסיון החזקת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ascii="Arial" w:hAnsi="Arial" w:cs="Arial"/>
          <w:b/>
          <w:b/>
          <w:bCs/>
          <w:rtl w:val="true"/>
        </w:rPr>
        <w:t>רכישת נשק שלא כדין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 +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25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לחוק העונשין ובעבירת </w:t>
      </w:r>
      <w:r>
        <w:rPr>
          <w:rFonts w:ascii="Arial" w:hAnsi="Arial" w:cs="Arial"/>
          <w:b/>
          <w:b/>
          <w:bCs/>
          <w:rtl w:val="true"/>
        </w:rPr>
        <w:t>רכישת</w:t>
      </w:r>
      <w:r>
        <w:rPr>
          <w:rFonts w:cs="Arial" w:ascii="Arial" w:hAnsi="Arial"/>
          <w:b/>
          <w:bCs/>
          <w:rtl w:val="true"/>
        </w:rPr>
        <w:t xml:space="preserve">/ </w:t>
      </w:r>
      <w:r>
        <w:rPr>
          <w:rFonts w:ascii="Arial" w:hAnsi="Arial" w:cs="Arial"/>
          <w:b/>
          <w:b/>
          <w:bCs/>
          <w:rtl w:val="true"/>
        </w:rPr>
        <w:t>החזקת חלק של נשק או תחמושת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עבירה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סיפא לחוק העונשין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הכרעת הדין המרשיעה את הנאשם בכתב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12.10.21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במהלך חיפוש בביתו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נמצא כי החזיק הנאשם בתוך שקית ניילון לבנה אשר הוחבאה מאחורי שולחן קטן ועליו שמיכות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אקדח הזנקה עטוף במגבת אשר הוסב לירי תחמושת קליעית בקליבר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פאראבלום כאשר מנגנון ההדק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פטיש תוף במצב לא תקין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עוד החזיק הנאשם ביחד עם הנשק קופסה שקופה עם מכסה תכלת ובה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הצדדים טענו לעונש בפניי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הערכים המוגנים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מעשי הנאשם פוגעים בערכים המוגנים של חובת ההגנה על שלומו ובטחונו של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גם חובת ההגנה על החיים כחלק בלתי נפרד מקדושת החיים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הסיכון הנובע מהחזקת כלי נשק ותחמושת בידי ידיים שאינם מיומנות ואשר אינן מורשות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הנו מוחשי ובנקל עשוי להוביל ל</w:t>
      </w:r>
      <w:r>
        <w:rPr>
          <w:rtl w:val="true"/>
        </w:rPr>
        <w:t>התרחשותן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הקלות הבלתי נסבלת בה עשויים מעשי עבירה מסוג זה לפגוע בגוף ונפש מחייבים נקיטת ענישה מוחשית ומרתיעה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למען יראו וייראו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בימים אלו בפרט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בהם הפכה תופעה זו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David" w:hAnsi="David"/>
          <w:spacing w:val="10"/>
          <w:rtl w:val="true"/>
        </w:rPr>
        <w:t>כבר נפסק לא אחת</w:t>
      </w:r>
      <w:r>
        <w:rPr>
          <w:rFonts w:cs="David" w:ascii="David" w:hAnsi="David"/>
          <w:spacing w:val="10"/>
          <w:rtl w:val="true"/>
        </w:rPr>
        <w:t xml:space="preserve">, </w:t>
      </w:r>
      <w:r>
        <w:rPr>
          <w:rFonts w:ascii="David" w:hAnsi="David"/>
          <w:spacing w:val="10"/>
          <w:rtl w:val="true"/>
        </w:rPr>
        <w:t xml:space="preserve">כי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התופעה של החזקת נשק שלא כדין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וכל שכן השימוש בו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מהווים  איום על שלום הציבור ותשתית למגוון רחב של עבירות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ומחייבת הירתמות גם של בתי המשפט על ידי ענישה מחמירה ומרתיעה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cs="Arial" w:ascii="Arial" w:hAnsi="Arial"/>
          <w:rtl w:val="true"/>
        </w:rPr>
        <w:t>[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6277/20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קנאו דניאל היילי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24.3.21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כלל אזכוריו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גם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1059/21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פלוני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29.4.21</w:t>
      </w:r>
      <w:r>
        <w:rPr>
          <w:rFonts w:cs="Arial" w:ascii="Arial" w:hAnsi="Arial"/>
          <w:rtl w:val="true"/>
        </w:rPr>
        <w:t>)].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זריעת </w:t>
      </w:r>
      <w:r>
        <w:rPr>
          <w:rFonts w:ascii="Arial" w:hAnsi="Arial" w:cs="Arial"/>
          <w:rtl w:val="true"/>
        </w:rPr>
        <w:t xml:space="preserve">פחד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ציבור שומר החוק מעצם נוכחות נשק סביבו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אינו בידי המורשים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העלול לשמש בביצוע עבירות ולפעול בסביבתו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פוגע אנושות בתחושת הביטחון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זורע בהלה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הסתגרות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ויכול </w:t>
      </w:r>
      <w:r>
        <w:rPr>
          <w:rFonts w:ascii="Arial" w:hAnsi="Arial" w:cs="Arial"/>
          <w:rtl w:val="true"/>
        </w:rPr>
        <w:t>לה</w:t>
      </w:r>
      <w:r>
        <w:rPr>
          <w:rFonts w:ascii="Arial" w:hAnsi="Arial" w:cs="Arial"/>
          <w:rtl w:val="true"/>
        </w:rPr>
        <w:t>סתיים בכניעה של אוכלוסייה תמימה ושומרת חוק לגורמים משליטי 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 נגד יונס 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Normal"/>
        <w:spacing w:lineRule="auto" w:line="360" w:before="0" w:after="0"/>
        <w:ind w:start="1361" w:end="709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spacing w:val="10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pacing w:val="10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start="1361" w:end="709"/>
        <w:jc w:val="both"/>
        <w:textAlignment w:val="baseline"/>
        <w:rPr>
          <w:rFonts w:ascii="David" w:hAnsi="David" w:cs="David"/>
          <w:b/>
          <w:bCs/>
          <w:spacing w:val="10"/>
        </w:rPr>
      </w:pPr>
      <w:r>
        <w:rPr>
          <w:b/>
          <w:b/>
          <w:bCs/>
          <w:sz w:val="20"/>
          <w:sz w:val="20"/>
          <w:rtl w:val="true"/>
        </w:rPr>
        <w:t>בית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משפט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זה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נותר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אדיש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למול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הגובר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בנשק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חם</w:t>
      </w:r>
      <w:r>
        <w:rPr>
          <w:b/>
          <w:bCs/>
          <w:sz w:val="20"/>
          <w:rtl w:val="true"/>
        </w:rPr>
        <w:t xml:space="preserve">, </w:t>
      </w:r>
      <w:r>
        <w:rPr>
          <w:b/>
          <w:b/>
          <w:bCs/>
          <w:sz w:val="20"/>
          <w:sz w:val="20"/>
          <w:rtl w:val="true"/>
        </w:rPr>
        <w:t>והדגיש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לא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אחת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הצורך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בענישה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מחמירה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ומרתיעה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כלפי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לשם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פתרון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סכסוכים</w:t>
      </w:r>
      <w:r>
        <w:rPr>
          <w:b/>
          <w:bCs/>
          <w:sz w:val="20"/>
          <w:rtl w:val="true"/>
        </w:rPr>
        <w:t xml:space="preserve">. </w:t>
      </w:r>
      <w:r>
        <w:rPr>
          <w:b/>
          <w:b/>
          <w:bCs/>
          <w:sz w:val="20"/>
          <w:sz w:val="20"/>
          <w:rtl w:val="true"/>
        </w:rPr>
        <w:t>זאת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במיוחד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כאשר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השימוש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בו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נעשה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בסביבת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בתי</w:t>
      </w:r>
      <w:r>
        <w:rPr>
          <w:rFonts w:cs="Times New Roman"/>
          <w:b/>
          <w:b/>
          <w:bCs/>
          <w:sz w:val="20"/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מגורים</w:t>
      </w:r>
      <w:r>
        <w:rPr>
          <w:b/>
          <w:bCs/>
          <w:sz w:val="20"/>
          <w:rtl w:val="true"/>
        </w:rPr>
        <w:t>"</w:t>
      </w:r>
      <w:r>
        <w:rPr>
          <w:b/>
          <w:bCs/>
          <w:sz w:val="20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 w:before="0" w:after="420"/>
        <w:ind w:end="709"/>
        <w:jc w:val="both"/>
        <w:textAlignment w:val="baseline"/>
        <w:rPr>
          <w:rFonts w:ascii="David" w:hAnsi="David" w:cs="David"/>
          <w:spacing w:val="10"/>
          <w:u w:val="single"/>
        </w:rPr>
      </w:pPr>
      <w:r>
        <w:rPr>
          <w:rFonts w:cs="David" w:ascii="David" w:hAnsi="David"/>
          <w:spacing w:val="10"/>
          <w:rtl w:val="true"/>
        </w:rPr>
        <w:tab/>
      </w:r>
      <w:r>
        <w:rPr>
          <w:rFonts w:ascii="David" w:hAnsi="David"/>
          <w:spacing w:val="10"/>
          <w:u w:val="single"/>
          <w:rtl w:val="true"/>
        </w:rPr>
        <w:t xml:space="preserve">מתחם העונש ההולם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חומרת מעשי הנאשם נלמדת מעצם החזקת אקדח הזנקה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הוסב לירי לצד החזקת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תואמים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כפי שנקבע בהכרעת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מצדו ביצע את כל הנדרש על מנת להחזיק בנשק ובתחמושת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יש לקבוע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למעשי הנאשם קדם תכנון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הסליק את הנשק והתחמושת בביתו בתוך שקית ניילון לבנה אשר הוחבאה מאחורי שולחן קטן ועליו שמיכות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נדרש להשגת הנשק והתחמושת מבעוד מועד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למרבה המזל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בעקבות החזקת הנשק והתחמושת לא ארע נזק לגוף או לרכוש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הנשק היה תקול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לדעת אימתי נפגם מנגנון ההדק ובאיזה אופן ומשכך יש לקבוע קיומו של פוטנציאל נזק משמעותי בעקבות החזקת הנשק והתחמושת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הנזק הנלווה מעצם הידיעה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נשק חם ותחמושת מצויים ומתגלגלים לידיים שאינן מורשות ובלתי מיומנות הנו הטלת אימה ופחד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בסביבת מגורים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אפקט הטלת האימה מתקיים ללא תלות במסוגלותו האמיתית של הנשק להמית אדם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קביעת מתחם העונש ההולם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כבר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ListParagraph"/>
        <w:spacing w:lineRule="auto" w:line="360"/>
        <w:ind w:end="0"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מתחם העונש ההולם בעבירות המבוצעות בנשק  צריך שיקבע בהתאם לסוג הנשק שבו מדובר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שהרי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סוג הנשק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גם ההיקף שבו נסחר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הוחזק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הובל וכיוצא באלה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הם נסיבות הקשורות בביצוע העבירה והם שקובעים את פוטנציאל הנזק הכרוך במעשה העבירה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ברי כי סחר בעשרות מטעני חבלה המכילים עשרות קילוגרמים של חומר נפץ אינו שקול מבחינה עונשית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גמולית לסחר ברימון הלם בודד</w:t>
      </w:r>
      <w:r>
        <w:rPr>
          <w:rFonts w:cs="Arial" w:ascii="Arial" w:hAnsi="Arial"/>
          <w:b/>
          <w:bCs/>
          <w:rtl w:val="true"/>
        </w:rPr>
        <w:t>" [</w:t>
      </w:r>
      <w:hyperlink r:id="rId12"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u w:val="single"/>
          </w:rPr>
          <w:t>1323/13</w:t>
        </w:r>
      </w:hyperlink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רך חסן נגד מדינת ישראל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 xml:space="preserve">מיום </w:t>
      </w:r>
      <w:r>
        <w:rPr>
          <w:rFonts w:cs="Arial" w:ascii="Arial" w:hAnsi="Arial"/>
          <w:b/>
          <w:bCs/>
        </w:rPr>
        <w:t>5.6.13</w:t>
      </w:r>
      <w:r>
        <w:rPr>
          <w:rFonts w:cs="Arial" w:ascii="Arial" w:hAnsi="Arial"/>
          <w:b/>
          <w:bCs/>
          <w:rtl w:val="true"/>
        </w:rPr>
        <w:t>)].</w:t>
      </w:r>
    </w:p>
    <w:p>
      <w:pPr>
        <w:pStyle w:val="ListParagraph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עותרת למתחם עונש הולם הנע בין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מדיניות הענישה הנוהגת מפנה המאשימה למדיניות הענישה הנוהגת בעבירות החזקת נשק ותחמושת ולמשל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5604-11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נאסר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5.10.11</w:t>
      </w:r>
      <w:r>
        <w:rPr>
          <w:rFonts w:cs="Arial" w:ascii="Arial" w:hAnsi="Arial"/>
          <w:rtl w:val="true"/>
        </w:rPr>
        <w:t xml:space="preserve">)- </w:t>
      </w:r>
      <w:r>
        <w:rPr>
          <w:rFonts w:ascii="Arial" w:hAnsi="Arial" w:cs="Arial"/>
          <w:rtl w:val="true"/>
        </w:rPr>
        <w:t xml:space="preserve">הנאשם הורשע בעבירת החזקת נשק ותחמושת בנסיבות בהן החזיק אקדח ברטה לא תקין ומחסנית לאקדח ובה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קבע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</w:p>
    <w:p>
      <w:pPr>
        <w:pStyle w:val="ListParagraph"/>
        <w:spacing w:lineRule="auto" w:line="360"/>
        <w:ind w:start="708" w:end="-426"/>
        <w:jc w:val="both"/>
        <w:rPr/>
      </w:pPr>
      <w:r>
        <w:rPr>
          <w:b/>
          <w:bCs/>
          <w:rtl w:val="true"/>
        </w:rPr>
        <w:t>"..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שניסתה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כוחו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עסקינן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הבחנה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התמקדה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שמישות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ממזערת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בהחזקתו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שציינתי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24796-06-20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חג</w:t>
      </w:r>
      <w:r>
        <w:rPr>
          <w:rFonts w:cs="Arial" w:ascii="Arial" w:hAnsi="Arial"/>
          <w:u w:val="single"/>
          <w:rtl w:val="true"/>
        </w:rPr>
        <w:t>'</w:t>
      </w:r>
      <w:r>
        <w:rPr>
          <w:rFonts w:ascii="Arial" w:hAnsi="Arial" w:cs="Arial"/>
          <w:u w:val="single"/>
          <w:rtl w:val="true"/>
        </w:rPr>
        <w:t xml:space="preserve">אזי </w:t>
      </w:r>
      <w:r>
        <w:rPr>
          <w:rFonts w:cs="Arial" w:ascii="Arial" w:hAnsi="Arial"/>
          <w:u w:val="single"/>
          <w:rtl w:val="true"/>
        </w:rPr>
        <w:t>(</w:t>
      </w:r>
      <w:r>
        <w:rPr>
          <w:rFonts w:ascii="Arial" w:hAnsi="Arial" w:cs="Arial"/>
          <w:u w:val="single"/>
          <w:rtl w:val="true"/>
        </w:rPr>
        <w:t>אסיר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9.7.20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הורשע בעבירות החזקת נשק וחלקי תחמושת בנסיבות בהן הוחזק על רגלו אקדח חצי אוטומטי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מודל </w:t>
      </w:r>
      <w:r>
        <w:rPr>
          <w:rFonts w:cs="Arial" w:ascii="Arial" w:hAnsi="Arial"/>
        </w:rPr>
        <w:t>75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כשבתוכו מחסנית תואמת טעונה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בעלי 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במצב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הכנס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10-24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נדון ל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לצד ענישה נלווית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נדחה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35119-06-20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חסארמה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בגין החזקת נשק ותחמושת אקדח ומחסנית תואמת בו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הפרעה לשוטרים ושיבוש מהלכי משפט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1729/19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יוסף עבאהרהה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10.10.19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בגין החזקת נשק מאולתר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קלרו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שתי מחסניות וכמה כדורי תחמושת הוטלו על המבקש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על חומרת העונש נדחה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1191/05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אגבריה מאלק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3.1.06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הרשעת המבקש בעבירת החזקת נשק שלא כדין ושיבוש מהלכי 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מסוג אקדח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טעון במחסנית ובה כדורים ובנסיבות מחמירות כמפורט בגזר דינו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לצד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ובר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 נדחו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22727-06-09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דוידוב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26.11.09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המשיב הורשע בעבירת 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החזקת חלק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אבזר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תחמושת של כלי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מסןג אקדח אשר היה טעון בכדור חי ובנפרד כדור חי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הורשע בהחזקת סמים שלא לצריכה עצמית והחזקת כלים להכנת סם שלא לצריכה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עונשו הוחמר בבית משפט שלערעור מ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בשני גזרי הדין האחרונים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נקבע מתחם עונש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בהיותם ישנים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יתר גזרי הדין אליהם מפנה המאשימה לא פורסמו ולא צורפו לעיוני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לטעמו של הסנגור בנסיבות מקרה והרשעת הנאשם בעבירת הניסיון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ניתן להסתפק במאסר בן מספר חודשים לריצוי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עותר להסתפקות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מדיניות הענישה הנוהגת מפנה הסנגור לפסיקה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25051-05-21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בשיר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30.12.21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באותו עניין בגין החזקת שני אקדחים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שתי מחסניות תואמות לכל אחד מן האקדחים אשר שתיים מהן היו מלאות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ובנוסף החזקת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בשקית שקופה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בהן הנשק והתחמושת הוסלקו בתוך חור בקיר המטבח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כשלצדם הוסלקה שקית ניילון ובה שתי מסכות פנים וזוג כפפות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נדון ל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החמיר בעונשו והעמידו על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ת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r>
        <w:rPr>
          <w:rFonts w:cs="Arial" w:ascii="Arial" w:hAnsi="Arial"/>
        </w:rPr>
        <w:t>26354-01-21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u w:val="single"/>
          <w:rtl w:val="true"/>
        </w:rPr>
        <w:t>פיראס שאהין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16.2.22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החזקת אקדח זמין לירי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טעון במחסנית ובה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חיים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וכן באקדח נוסף מסוג </w:t>
      </w:r>
      <w:r>
        <w:rPr>
          <w:rFonts w:cs="Arial" w:ascii="Arial" w:hAnsi="Arial"/>
        </w:rPr>
        <w:t>CZ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6-36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נדון למאסר בפועל בן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היותו של האקדח תקול אינה מפחיתה מן היסוד הנפשי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לכך כבר התייחסתי בהכרת הדין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הנאשם עשה את כל הנדרש מעבר לשלב ההכנה על מנת לבצע את העבירה המושלמת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בבחינת היסוד הנפשי התמלאה העבירה המוגמרת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הנאשם חשב כי הוא מחזיק בנשק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להכרעת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באותו מעמד של תפיסת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בטרם בוצע בו כל 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הנשק לא יכול היה לירות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Style w:val="default"/>
          <w:rFonts w:ascii="David" w:hAnsi="David" w:cs="David"/>
        </w:rPr>
      </w:pPr>
      <w:r>
        <w:rPr>
          <w:rFonts w:ascii="Arial" w:hAnsi="Arial" w:cs="Arial"/>
          <w:rtl w:val="true"/>
        </w:rPr>
        <w:t>על אף הערתי בהכרעת הדין כי לשיטתי ניתן היה להרשיע את הנאשם בעבירה השלמה ביחס להחזקתו של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רק בעבירת הניסיון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כתב האישום מייחס לנאשם עבירת ניסיון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גם הורשע הנאשם</w:t>
      </w:r>
      <w:r>
        <w:rPr>
          <w:rFonts w:cs="Arial" w:ascii="Arial" w:hAnsi="Arial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העונש המקסימלי הקבוע בחוק אינו מבדיל בין עבירת הניסיון לעבירה המשולמת</w:t>
      </w:r>
      <w:r>
        <w:rPr>
          <w:rStyle w:val="default"/>
          <w:rFonts w:cs="David" w:ascii="David" w:hAnsi="David"/>
          <w:rtl w:val="true"/>
        </w:rPr>
        <w:t xml:space="preserve">. </w:t>
      </w:r>
      <w:r>
        <w:rPr>
          <w:rStyle w:val="default"/>
          <w:rFonts w:ascii="David" w:hAnsi="David"/>
          <w:rtl w:val="true"/>
        </w:rPr>
        <w:t>יחד עם זאת בקביעת המתחם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אין להתעלם מכך כי הורשע בניסיון ולא בעבירה המושלמת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Paragraph"/>
        <w:ind w:end="0"/>
        <w:jc w:val="start"/>
        <w:rPr>
          <w:rStyle w:val="default"/>
          <w:rFonts w:ascii="David" w:hAnsi="David" w:cs="David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Style w:val="default"/>
          <w:rFonts w:ascii="David" w:hAnsi="David" w:cs="David"/>
        </w:rPr>
      </w:pPr>
      <w:r>
        <w:rPr>
          <w:rStyle w:val="default"/>
          <w:rFonts w:ascii="David" w:hAnsi="David"/>
          <w:rtl w:val="true"/>
        </w:rPr>
        <w:t>חומרה יתרה יש ליחס לעובדה כי הנא</w:t>
      </w:r>
      <w:r>
        <w:rPr>
          <w:rStyle w:val="default"/>
          <w:rFonts w:cs="David" w:ascii="David" w:hAnsi="David"/>
          <w:rtl w:val="true"/>
        </w:rPr>
        <w:t>/</w:t>
      </w:r>
      <w:r>
        <w:rPr>
          <w:rStyle w:val="default"/>
          <w:rFonts w:ascii="David" w:hAnsi="David"/>
          <w:rtl w:val="true"/>
        </w:rPr>
        <w:t>שם הורשע לא רק בניסיון להחזקת האקדח אלא בהחזקתה של תחמושת לצדו</w:t>
      </w:r>
      <w:r>
        <w:rPr>
          <w:rStyle w:val="default"/>
          <w:rFonts w:cs="David" w:ascii="David" w:hAnsi="David"/>
          <w:rtl w:val="true"/>
        </w:rPr>
        <w:t xml:space="preserve">.  </w:t>
      </w:r>
      <w:r>
        <w:rPr>
          <w:rStyle w:val="default"/>
          <w:rFonts w:ascii="David" w:hAnsi="David"/>
          <w:rtl w:val="true"/>
        </w:rPr>
        <w:t>התחמושת הופכת את הימצאותו של האקדח למסוכנת פי כמה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כאשר יש בידי אותו מחזיק את כל הנדרש על מנת להפעיל את האקדח</w:t>
      </w:r>
      <w:r>
        <w:rPr>
          <w:rStyle w:val="default"/>
          <w:rFonts w:cs="David" w:ascii="David" w:hAnsi="David"/>
          <w:rtl w:val="true"/>
        </w:rPr>
        <w:t xml:space="preserve">, </w:t>
      </w:r>
      <w:r>
        <w:rPr>
          <w:rStyle w:val="default"/>
          <w:rFonts w:ascii="David" w:hAnsi="David"/>
          <w:rtl w:val="true"/>
        </w:rPr>
        <w:t>והם מצויים בסמיכות זה לזה</w:t>
      </w:r>
      <w:r>
        <w:rPr>
          <w:rStyle w:val="default"/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Style w:val="default"/>
          <w:rFonts w:ascii="Arial" w:hAnsi="Arial" w:cs="Arial"/>
        </w:rPr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ברוח מדיניות הענישה הנוהגת בעבירות נשק ובהתייחס להרשעת הנאשם בעבירת הניסיון להחזקת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מסוג אקדח ועבירת החזקת תחמושת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64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תואמים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בהן הוסלקו הנשק והתחמושת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בדיעבד הסתבר כי האקדח היה תקול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מוצאת אני כי יש להורות על מתחם עונש הולם הנע בין </w:t>
      </w:r>
      <w:r>
        <w:rPr>
          <w:rFonts w:cs="Arial" w:ascii="Arial" w:hAnsi="Arial"/>
        </w:rPr>
        <w:t>12-30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  <w:rtl w:val="true"/>
        </w:rPr>
        <w:t xml:space="preserve">נסיבות שאינן קשורות לביצוע העבירות </w:t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1990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לא הודה במיוחס לו והורשע לאחר מתן הכרעת דין במחלוקת משפטית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בלא שמיעת ראיות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הגשתן לבית המשפט בלבד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לנאשם עבר פלילי שאינו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ישן יחסית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אך רלוונטי בדמות הרשעה מיום </w:t>
      </w:r>
      <w:r>
        <w:rPr>
          <w:rFonts w:cs="Arial" w:ascii="Arial" w:hAnsi="Arial"/>
        </w:rPr>
        <w:t>20.10.2015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בעבירת החזקת אגרופן או סכין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גיליון הרשעות בעניינו של הנאשם הוגש וסומן </w:t>
      </w:r>
      <w:r>
        <w:rPr>
          <w:rFonts w:ascii="Arial" w:hAnsi="Arial" w:cs="Arial"/>
          <w:b/>
          <w:b/>
          <w:bCs/>
          <w:rtl w:val="true"/>
        </w:rPr>
        <w:t>ת</w:t>
      </w:r>
      <w:r>
        <w:rPr>
          <w:rFonts w:cs="Arial" w:ascii="Arial" w:hAnsi="Arial"/>
          <w:b/>
          <w:bCs/>
          <w:rtl w:val="true"/>
        </w:rPr>
        <w:t>/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בעניינו של הנאשם לא הונח אפיק שיקומי טיפולי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מיקומו של הנאשם בחלק הנמוך של מתחם הענישה אך לא בתחתיתו ממש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708" w:end="-426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עצור מיום </w:t>
      </w:r>
      <w:r>
        <w:rPr>
          <w:rFonts w:cs="Arial" w:ascii="Arial" w:hAnsi="Arial"/>
        </w:rPr>
        <w:t>12.10.21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567" w:start="708" w:end="-426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לאור כל האמור הנני גוזרת את עונשו של הנאשם כדלהלן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 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12.10.21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9</w:t>
      </w:r>
      <w:r>
        <w:rPr>
          <w:rtl w:val="true"/>
        </w:rPr>
        <w:t xml:space="preserve"> 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10.11.22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עוקב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</w:rPr>
        <w:t>*</w:t>
        <w:tab/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בכרטיס אשראי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– באתר המקוון של רשות האכיפה והגבייה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hyperlink r:id="rId18">
        <w:r>
          <w:rPr>
            <w:rStyle w:val="Hyperlink"/>
            <w:rFonts w:cs="Arial" w:ascii="Calibri" w:hAnsi="Calibri"/>
            <w:color w:val="0563C1"/>
            <w:sz w:val="22"/>
            <w:szCs w:val="22"/>
          </w:rPr>
          <w:t>www.eca.gov.il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(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ניתן לשלם בפריסה של עד </w:t>
      </w:r>
      <w:r>
        <w:rPr>
          <w:rFonts w:cs="Arial" w:ascii="Arial" w:hAnsi="Arial"/>
          <w:sz w:val="22"/>
          <w:szCs w:val="22"/>
        </w:rPr>
        <w:t>18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תשלומים בהסדר קרדיט</w:t>
      </w:r>
      <w:r>
        <w:rPr>
          <w:rFonts w:cs="Arial" w:ascii="Arial" w:hAnsi="Arial"/>
          <w:sz w:val="22"/>
          <w:szCs w:val="22"/>
          <w:rtl w:val="true"/>
        </w:rPr>
        <w:t xml:space="preserve">)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או חפש בגוגל 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תשלום גביית קנסות</w:t>
      </w:r>
      <w:r>
        <w:rPr>
          <w:rFonts w:cs="Arial" w:ascii="Arial" w:hAnsi="Arial"/>
          <w:sz w:val="22"/>
          <w:szCs w:val="22"/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</w:rPr>
        <w:t xml:space="preserve">*         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מוקד שירות טלפוני בשירות עצמי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מרכז גבייה</w:t>
      </w:r>
      <w:r>
        <w:rPr>
          <w:rFonts w:cs="Arial" w:ascii="Arial" w:hAnsi="Arial"/>
          <w:b/>
          <w:bCs/>
          <w:sz w:val="22"/>
          <w:szCs w:val="22"/>
          <w:rtl w:val="true"/>
        </w:rPr>
        <w:t>)</w:t>
      </w:r>
      <w:r>
        <w:rPr>
          <w:rFonts w:cs="Arial" w:ascii="Arial" w:hAnsi="Arial"/>
          <w:sz w:val="22"/>
          <w:szCs w:val="22"/>
          <w:rtl w:val="true"/>
        </w:rPr>
        <w:t xml:space="preserve"> –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בטלפון </w:t>
      </w:r>
      <w:r>
        <w:rPr>
          <w:rFonts w:cs="Arial" w:ascii="Arial" w:hAnsi="Arial"/>
          <w:sz w:val="22"/>
          <w:szCs w:val="22"/>
          <w:rtl w:val="true"/>
        </w:rPr>
        <w:t>*</w:t>
      </w:r>
      <w:r>
        <w:rPr>
          <w:rFonts w:cs="Arial" w:ascii="Arial" w:hAnsi="Arial"/>
          <w:sz w:val="22"/>
          <w:szCs w:val="22"/>
        </w:rPr>
        <w:t>35592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או בטלפון</w:t>
      </w:r>
      <w:r>
        <w:rPr>
          <w:rFonts w:cs="Arial" w:ascii="Arial" w:hAnsi="Arial"/>
          <w:sz w:val="22"/>
          <w:szCs w:val="22"/>
          <w:rtl w:val="true"/>
        </w:rPr>
        <w:t xml:space="preserve">: </w:t>
      </w:r>
      <w:r>
        <w:rPr>
          <w:rFonts w:cs="Arial" w:ascii="Arial" w:hAnsi="Arial"/>
          <w:sz w:val="22"/>
          <w:szCs w:val="22"/>
        </w:rPr>
        <w:t>073-2055000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  <w:b/>
          <w:bCs/>
          <w:sz w:val="22"/>
          <w:szCs w:val="22"/>
          <w:rtl w:val="true"/>
        </w:rPr>
        <w:t xml:space="preserve">*         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במזומן בכל סניף של בנק הדואר 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– בהצגת תעודת זהות בלבד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אין צורך בשוברי תשלום</w:t>
      </w:r>
      <w:r>
        <w:rPr>
          <w:rFonts w:cs="Arial" w:ascii="Arial" w:hAnsi="Arial"/>
          <w:sz w:val="22"/>
          <w:szCs w:val="22"/>
          <w:rtl w:val="true"/>
        </w:rPr>
        <w:t xml:space="preserve">). </w:t>
      </w:r>
    </w:p>
    <w:p>
      <w:pPr>
        <w:pStyle w:val="Normal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ind w:end="0"/>
        <w:jc w:val="start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יצהיר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20</w:t>
      </w:r>
      <w:r>
        <w:rPr>
          <w:rtl w:val="true"/>
        </w:rPr>
        <w:t xml:space="preserve">   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יתווספו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b/>
          <w:bCs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סיוון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יוני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שושנה פיינסוד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עכו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53239-10-21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חמוד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26986954" TargetMode="External"/><Relationship Id="rId10" Type="http://schemas.openxmlformats.org/officeDocument/2006/relationships/hyperlink" Target="http://www.nevo.co.il/case/27404359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case/6024035" TargetMode="External"/><Relationship Id="rId14" Type="http://schemas.openxmlformats.org/officeDocument/2006/relationships/hyperlink" Target="http://www.nevo.co.il/case/26745252" TargetMode="External"/><Relationship Id="rId15" Type="http://schemas.openxmlformats.org/officeDocument/2006/relationships/hyperlink" Target="http://www.nevo.co.il/case/26757745" TargetMode="External"/><Relationship Id="rId16" Type="http://schemas.openxmlformats.org/officeDocument/2006/relationships/hyperlink" Target="http://www.nevo.co.il/case/5136813" TargetMode="External"/><Relationship Id="rId17" Type="http://schemas.openxmlformats.org/officeDocument/2006/relationships/hyperlink" Target="http://www.nevo.co.il/case/27616437" TargetMode="External"/><Relationship Id="rId18" Type="http://schemas.openxmlformats.org/officeDocument/2006/relationships/hyperlink" Target="http://www.eca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2022-11-27T14:35:00Z</dcterms:created>
  <dc:creator> </dc:creator>
  <dc:description/>
  <cp:keywords/>
  <dc:language>en-IL</dc:language>
  <cp:lastModifiedBy>h10</cp:lastModifiedBy>
  <dcterms:modified xsi:type="dcterms:W3CDTF">2022-11-27T14:35:00Z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חמוד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26986954;27404359;25824863;6473037;6024035;26745252;26757745;5136813;27616437</vt:lpwstr>
  </property>
  <property fmtid="{D5CDD505-2E9C-101B-9397-08002B2CF9AE}" pid="9" name="CITY">
    <vt:lpwstr>עכו</vt:lpwstr>
  </property>
  <property fmtid="{D5CDD505-2E9C-101B-9397-08002B2CF9AE}" pid="10" name="DATE">
    <vt:lpwstr>20220607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שושנה פיינסוד כהן</vt:lpwstr>
  </property>
  <property fmtid="{D5CDD505-2E9C-101B-9397-08002B2CF9AE}" pid="14" name="LAWLISTTMP1">
    <vt:lpwstr>70301/144.a:2;025</vt:lpwstr>
  </property>
  <property fmtid="{D5CDD505-2E9C-101B-9397-08002B2CF9AE}" pid="15" name="LAWYER">
    <vt:lpwstr>יוסף שלבי;מוחמד שעבאן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53239</vt:lpwstr>
  </property>
  <property fmtid="{D5CDD505-2E9C-101B-9397-08002B2CF9AE}" pid="22" name="NEWPARTB">
    <vt:lpwstr>10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380020220607</vt:lpwstr>
  </property>
  <property fmtid="{D5CDD505-2E9C-101B-9397-08002B2CF9AE}" pid="34" name="TYPE_N_DATE">
    <vt:lpwstr>38020220607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