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53339-09-22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נאשף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יעל תרם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עאזם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עלא תלאווי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6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יזן 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יחיא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מסארוה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בעניין נאשמים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3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ו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-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6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>הנאשמים הורשעו במסגרת הסדר דיוני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התפרעות ואלימות שאירעו במהלך מבצע </w:t>
      </w:r>
      <w:r>
        <w:rPr>
          <w:rtl w:val="true"/>
        </w:rPr>
        <w:t>'</w:t>
      </w:r>
      <w:r>
        <w:rPr>
          <w:rtl w:val="true"/>
        </w:rPr>
        <w:t>שומר חומות</w:t>
      </w:r>
      <w:r>
        <w:rPr>
          <w:rtl w:val="true"/>
        </w:rPr>
        <w:t xml:space="preserve">' </w:t>
      </w:r>
      <w:r>
        <w:rPr>
          <w:rtl w:val="true"/>
        </w:rPr>
        <w:t>ובתקופה הסמוכה לו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כנגד הנאשמים וחבריהם הוגש כתב אישום המייחסים להם</w:t>
      </w:r>
      <w:r>
        <w:rPr>
          <w:rtl w:val="true"/>
        </w:rPr>
        <w:t xml:space="preserve">, </w:t>
      </w:r>
      <w:r>
        <w:rPr>
          <w:rtl w:val="true"/>
        </w:rPr>
        <w:t>לפי חלקם</w:t>
      </w:r>
      <w:r>
        <w:rPr>
          <w:rtl w:val="true"/>
        </w:rPr>
        <w:t xml:space="preserve">, </w:t>
      </w:r>
      <w:r>
        <w:rPr>
          <w:rtl w:val="true"/>
        </w:rPr>
        <w:t xml:space="preserve">מעורבות באירועי אלימות והתפרעות על רק מבצע </w:t>
      </w:r>
      <w:r>
        <w:rPr>
          <w:rtl w:val="true"/>
        </w:rPr>
        <w:t>"</w:t>
      </w:r>
      <w:r>
        <w:rPr>
          <w:rtl w:val="true"/>
        </w:rPr>
        <w:t>שומר חומות</w:t>
      </w:r>
      <w:r>
        <w:rPr>
          <w:rtl w:val="true"/>
        </w:rPr>
        <w:t xml:space="preserve">". </w:t>
      </w:r>
      <w:r>
        <w:rPr>
          <w:rtl w:val="true"/>
        </w:rPr>
        <w:t xml:space="preserve">כנטען בעובדות </w:t>
      </w:r>
      <w:r>
        <w:rPr>
          <w:b/>
          <w:b/>
          <w:bCs/>
          <w:rtl w:val="true"/>
        </w:rPr>
        <w:t>האישום השני</w:t>
      </w:r>
      <w:r>
        <w:rPr>
          <w:rtl w:val="true"/>
        </w:rPr>
        <w:t xml:space="preserve"> המיוחס לשני הנאשמים ולנאשמים נוספים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11.5.21</w:t>
      </w:r>
      <w:r>
        <w:rPr>
          <w:rtl w:val="true"/>
        </w:rPr>
        <w:t xml:space="preserve"> </w:t>
      </w:r>
      <w:r>
        <w:rPr>
          <w:rtl w:val="true"/>
        </w:rPr>
        <w:t>ובימים הסמוכים</w:t>
      </w:r>
      <w:r>
        <w:rPr>
          <w:rtl w:val="true"/>
        </w:rPr>
        <w:t xml:space="preserve">, </w:t>
      </w:r>
      <w:r>
        <w:rPr>
          <w:rtl w:val="true"/>
        </w:rPr>
        <w:t>נטלו הנאשמים חלק פעיל בהתפרעויות בעיר טייבה ויידו אבנים כשבאותה עת שהו שוטרים בקרבת מקום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בגין מעשיהם באישום השני הורשעו הנאשמים בעבירות של </w:t>
      </w:r>
      <w:r>
        <w:rPr>
          <w:b/>
          <w:b/>
          <w:bCs/>
          <w:u w:val="single"/>
          <w:rtl w:val="true"/>
        </w:rPr>
        <w:t>ניסיון להפרעה לשוטר בנסיבות מחמירות</w:t>
      </w:r>
      <w:r>
        <w:rPr>
          <w:b/>
          <w:b/>
          <w:bCs/>
          <w:rtl w:val="true"/>
        </w:rPr>
        <w:t xml:space="preserve"> לפי </w:t>
      </w:r>
      <w:hyperlink r:id="rId8">
        <w:r>
          <w:rPr>
            <w:rStyle w:val="Hyperlink"/>
            <w:b/>
            <w:b/>
            <w:bCs/>
            <w:rtl w:val="true"/>
          </w:rPr>
          <w:t>סעיפים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275</w:t>
        </w:r>
        <w:r>
          <w:rPr>
            <w:rStyle w:val="Hyperlink"/>
            <w:b/>
            <w:b/>
            <w:bCs/>
            <w:rtl w:val="true"/>
          </w:rPr>
          <w:t>א</w:t>
        </w:r>
      </w:hyperlink>
      <w:r>
        <w:rPr>
          <w:b/>
          <w:b/>
          <w:bCs/>
          <w:rtl w:val="true"/>
        </w:rPr>
        <w:t xml:space="preserve"> ל</w:t>
      </w:r>
      <w:hyperlink r:id="rId9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") </w:t>
      </w:r>
      <w:r>
        <w:rPr>
          <w:b/>
          <w:b/>
          <w:bCs/>
          <w:u w:val="single"/>
          <w:rtl w:val="true"/>
        </w:rPr>
        <w:t>והתפרעות</w:t>
      </w:r>
      <w:r>
        <w:rPr>
          <w:b/>
          <w:b/>
          <w:bCs/>
          <w:rtl w:val="true"/>
        </w:rPr>
        <w:t xml:space="preserve"> לפי </w:t>
      </w:r>
      <w:hyperlink r:id="rId10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152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הורשע גם במיוחס לו במסגרת </w:t>
      </w:r>
      <w:r>
        <w:rPr>
          <w:b/>
          <w:b/>
          <w:bCs/>
          <w:rtl w:val="true"/>
        </w:rPr>
        <w:t>האישום הרביעי</w:t>
      </w:r>
      <w:r>
        <w:rPr>
          <w:rtl w:val="true"/>
        </w:rPr>
        <w:t xml:space="preserve"> ולפיו</w:t>
      </w:r>
      <w:r>
        <w:rPr>
          <w:rtl w:val="true"/>
        </w:rPr>
        <w:t xml:space="preserve">, </w:t>
      </w:r>
      <w:r>
        <w:rPr>
          <w:rtl w:val="true"/>
        </w:rPr>
        <w:t xml:space="preserve">במהלך שנת </w:t>
      </w:r>
      <w:r>
        <w:rPr/>
        <w:t>2022</w:t>
      </w:r>
      <w:r>
        <w:rPr>
          <w:rtl w:val="true"/>
        </w:rPr>
        <w:t xml:space="preserve"> </w:t>
      </w:r>
      <w:r>
        <w:rPr>
          <w:rtl w:val="true"/>
        </w:rPr>
        <w:t>בזמן ששהה בבית סבו בטול כרם</w:t>
      </w:r>
      <w:r>
        <w:rPr>
          <w:rtl w:val="true"/>
        </w:rPr>
        <w:t xml:space="preserve">, </w:t>
      </w:r>
      <w:r>
        <w:rPr>
          <w:rtl w:val="true"/>
        </w:rPr>
        <w:t xml:space="preserve">פנה אליו  הנאשם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נאשף</w:t>
      </w:r>
      <w:r>
        <w:rPr>
          <w:rtl w:val="true"/>
        </w:rPr>
        <w:t xml:space="preserve">") </w:t>
      </w:r>
      <w:r>
        <w:rPr>
          <w:rtl w:val="true"/>
        </w:rPr>
        <w:t>וביקש ממנו להתלוות אליו למפגש עם אחר</w:t>
      </w:r>
      <w:r>
        <w:rPr>
          <w:rtl w:val="true"/>
        </w:rPr>
        <w:t xml:space="preserve">, </w:t>
      </w:r>
      <w:r>
        <w:rPr>
          <w:rtl w:val="true"/>
        </w:rPr>
        <w:t>תושב האזור</w:t>
      </w:r>
      <w:r>
        <w:rPr>
          <w:rtl w:val="true"/>
        </w:rPr>
        <w:t xml:space="preserve">, </w:t>
      </w:r>
      <w:r>
        <w:rPr>
          <w:rtl w:val="true"/>
        </w:rPr>
        <w:t xml:space="preserve">כשכוונתו של נאשף הייתה להחליף אקדח המצוי ברשותו מסוג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באקדח אחר</w:t>
      </w:r>
      <w:r>
        <w:rPr>
          <w:rtl w:val="true"/>
        </w:rPr>
        <w:t xml:space="preserve">. </w:t>
      </w:r>
      <w:r>
        <w:rPr>
          <w:rtl w:val="true"/>
        </w:rPr>
        <w:t>תכניתו לא יצאה לפועל ועל כן  ביקש מהנאשם  להסתיר את נשקו בבית סבו</w:t>
      </w:r>
      <w:r>
        <w:rPr>
          <w:rtl w:val="true"/>
        </w:rPr>
        <w:t xml:space="preserve">, </w:t>
      </w:r>
      <w:r>
        <w:rPr>
          <w:rtl w:val="true"/>
        </w:rPr>
        <w:t>משום שחשש להכניסו לישראל וזה נעתר והסליקו בחצר הבית</w:t>
      </w:r>
      <w:r>
        <w:rPr>
          <w:rtl w:val="true"/>
        </w:rPr>
        <w:t xml:space="preserve">. </w:t>
      </w:r>
      <w:r>
        <w:rPr>
          <w:rtl w:val="true"/>
        </w:rPr>
        <w:t>לאחר כיומיים</w:t>
      </w:r>
      <w:r>
        <w:rPr>
          <w:rtl w:val="true"/>
        </w:rPr>
        <w:t xml:space="preserve">, </w:t>
      </w:r>
      <w:r>
        <w:rPr>
          <w:rtl w:val="true"/>
        </w:rPr>
        <w:t xml:space="preserve">פנה נאשף לנאשם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וסיפר לו שברצונו להכניס את האקדח לישראל</w:t>
      </w:r>
      <w:r>
        <w:rPr>
          <w:rtl w:val="true"/>
        </w:rPr>
        <w:t xml:space="preserve">, </w:t>
      </w:r>
      <w:r>
        <w:rPr>
          <w:rtl w:val="true"/>
        </w:rPr>
        <w:t>בהמשך הגיע לבית הסב והסיע את הנאשם במכוניתו כשהם נושאים ומובילים את האקדח</w:t>
      </w:r>
      <w:r>
        <w:rPr>
          <w:rtl w:val="true"/>
        </w:rPr>
        <w:t xml:space="preserve">. </w:t>
      </w:r>
      <w:r>
        <w:rPr>
          <w:rtl w:val="true"/>
        </w:rPr>
        <w:t>כשהגיעו בסמוך למחסום צבאי</w:t>
      </w:r>
      <w:r>
        <w:rPr>
          <w:rtl w:val="true"/>
        </w:rPr>
        <w:t xml:space="preserve">, </w:t>
      </w:r>
      <w:r>
        <w:rPr>
          <w:rtl w:val="true"/>
        </w:rPr>
        <w:t xml:space="preserve">נטל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 האקדח ונכנס לתחומי המדינה דרך פרצה בגדר המערכת כשהוא נושא על גופו את האקדח</w:t>
      </w:r>
      <w:r>
        <w:rPr>
          <w:rtl w:val="true"/>
        </w:rPr>
        <w:t xml:space="preserve">, </w:t>
      </w:r>
      <w:r>
        <w:rPr>
          <w:rtl w:val="true"/>
        </w:rPr>
        <w:t>כשנאשף ממתין לו לאחר שעבר את המחסום ואספו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בגין מעשיו באישום הרביעי הורשע הנאשם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בעבירה של  </w:t>
      </w:r>
      <w:r>
        <w:rPr>
          <w:b/>
          <w:b/>
          <w:bCs/>
          <w:u w:val="single"/>
          <w:rtl w:val="true"/>
        </w:rPr>
        <w:t xml:space="preserve">נשיאה והובלת נשק </w:t>
      </w:r>
      <w:r>
        <w:rPr>
          <w:b/>
          <w:b/>
          <w:bCs/>
          <w:rtl w:val="true"/>
        </w:rPr>
        <w:t xml:space="preserve">לפי </w:t>
      </w:r>
      <w:hyperlink r:id="rId11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לחוק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 xml:space="preserve">לנאשם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מיוחסת מעורבות באישומים שישי ושביעי לכתב אישום</w:t>
      </w:r>
      <w:r>
        <w:rPr>
          <w:rtl w:val="true"/>
        </w:rPr>
        <w:t xml:space="preserve">: </w:t>
      </w:r>
      <w:r>
        <w:rPr>
          <w:rtl w:val="true"/>
        </w:rPr>
        <w:t xml:space="preserve">כנטען בעובדות </w:t>
      </w:r>
      <w:r>
        <w:rPr>
          <w:b/>
          <w:b/>
          <w:bCs/>
          <w:rtl w:val="true"/>
        </w:rPr>
        <w:t>האישום השישי</w:t>
      </w:r>
      <w:r>
        <w:rPr>
          <w:rtl w:val="true"/>
        </w:rPr>
        <w:t xml:space="preserve">, </w:t>
      </w:r>
      <w:r>
        <w:rPr>
          <w:rtl w:val="true"/>
        </w:rPr>
        <w:t xml:space="preserve">במהלך שנת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>החזיק בביתו שבטייבה אקדח גלוק טעון בכדורים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בגין מעשיו באישום השישי הורשע הנאשם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בעבירה של  </w:t>
      </w:r>
      <w:r>
        <w:rPr>
          <w:b/>
          <w:b/>
          <w:bCs/>
          <w:u w:val="single"/>
          <w:rtl w:val="true"/>
        </w:rPr>
        <w:t xml:space="preserve">החזקת נשק ותחמושת </w:t>
      </w:r>
      <w:r>
        <w:rPr>
          <w:b/>
          <w:b/>
          <w:bCs/>
          <w:rtl w:val="true"/>
        </w:rPr>
        <w:t xml:space="preserve">לפי </w:t>
      </w:r>
      <w:hyperlink r:id="rId12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לחוק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 xml:space="preserve">כנטען בעובדות </w:t>
      </w:r>
      <w:r>
        <w:rPr>
          <w:b/>
          <w:b/>
          <w:bCs/>
          <w:rtl w:val="true"/>
        </w:rPr>
        <w:t>האישום השביעי</w:t>
      </w:r>
      <w:r>
        <w:rPr>
          <w:rtl w:val="true"/>
        </w:rPr>
        <w:t xml:space="preserve">, </w:t>
      </w:r>
      <w:r>
        <w:rPr>
          <w:rtl w:val="true"/>
        </w:rPr>
        <w:t xml:space="preserve">במהלך שנת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 xml:space="preserve">פנה הנאשם לנאשף וביקש לרכוש תחמושת לאקדח מסוג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עבור אחרים</w:t>
      </w:r>
      <w:r>
        <w:rPr>
          <w:rtl w:val="true"/>
        </w:rPr>
        <w:t xml:space="preserve">. </w:t>
      </w:r>
      <w:r>
        <w:rPr>
          <w:rtl w:val="true"/>
        </w:rPr>
        <w:t>נאשף מכר לו קופסת תחמושת בכמות שאינה ידועה</w:t>
      </w:r>
      <w:r>
        <w:rPr>
          <w:rtl w:val="true"/>
        </w:rPr>
        <w:t xml:space="preserve">, </w:t>
      </w:r>
      <w:r>
        <w:rPr>
          <w:rtl w:val="true"/>
        </w:rPr>
        <w:t xml:space="preserve">בסכום של </w:t>
      </w:r>
      <w:r>
        <w:rPr/>
        <w:t>750</w:t>
      </w:r>
      <w:r>
        <w:rPr>
          <w:rtl w:val="true"/>
        </w:rPr>
        <w:t xml:space="preserve"> ₪ </w:t>
      </w:r>
      <w:r>
        <w:rPr>
          <w:rtl w:val="true"/>
        </w:rPr>
        <w:t xml:space="preserve">והנאשם מכרה לאחרים תמורת </w:t>
      </w:r>
      <w:r>
        <w:rPr/>
        <w:t>800</w:t>
      </w:r>
      <w:r>
        <w:rPr>
          <w:rtl w:val="true"/>
        </w:rPr>
        <w:t xml:space="preserve"> ₪. </w:t>
      </w:r>
      <w:r>
        <w:rPr>
          <w:b/>
          <w:b/>
          <w:bCs/>
          <w:rtl w:val="true"/>
        </w:rPr>
        <w:t xml:space="preserve">בגין מעשיו באישום השביעי הורשע הנאשם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בעבירה של  </w:t>
      </w:r>
      <w:r>
        <w:rPr>
          <w:b/>
          <w:b/>
          <w:bCs/>
          <w:u w:val="single"/>
          <w:rtl w:val="true"/>
        </w:rPr>
        <w:t xml:space="preserve">עסקה אחרת בנשק </w:t>
      </w:r>
      <w:r>
        <w:rPr>
          <w:b/>
          <w:b/>
          <w:bCs/>
          <w:rtl w:val="true"/>
        </w:rPr>
        <w:t xml:space="preserve">לפי </w:t>
      </w:r>
      <w:hyperlink r:id="rId13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</w:rPr>
          <w:t>2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מפאת גילם הופנו הנאשמים לתסקירי חובה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אביו פלסטיני ללא אזרחות ישראלית</w:t>
      </w:r>
      <w:r>
        <w:rPr>
          <w:rtl w:val="true"/>
        </w:rPr>
        <w:t xml:space="preserve">, </w:t>
      </w:r>
      <w:r>
        <w:rPr>
          <w:rtl w:val="true"/>
        </w:rPr>
        <w:t>מתגורר בשטחים</w:t>
      </w:r>
      <w:r>
        <w:rPr>
          <w:rtl w:val="true"/>
        </w:rPr>
        <w:t xml:space="preserve">, </w:t>
      </w:r>
      <w:r>
        <w:rPr>
          <w:rtl w:val="true"/>
        </w:rPr>
        <w:t>גדל עם אמו שחולה במחלה קשה וסייע בפרנסת משפחתו</w:t>
      </w:r>
      <w:r>
        <w:rPr>
          <w:rtl w:val="true"/>
        </w:rPr>
        <w:t xml:space="preserve">.  </w:t>
      </w:r>
      <w:r>
        <w:rPr>
          <w:rtl w:val="true"/>
        </w:rPr>
        <w:t xml:space="preserve">בתום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החל לעבוד בהתקנת מזגנים</w:t>
      </w:r>
      <w:r>
        <w:rPr>
          <w:rtl w:val="true"/>
        </w:rPr>
        <w:t xml:space="preserve">, </w:t>
      </w:r>
      <w:r>
        <w:rPr>
          <w:rtl w:val="true"/>
        </w:rPr>
        <w:t>טרם מעצרו הנוכחי עבד בעיריית תל אביב בתחום הגינון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 הודה בביצוע העבירה אך נטל  אחריות חלקית על 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באותה תקופה נהג להסתובב עם חברים שצרכו אלכוהול</w:t>
      </w:r>
      <w:r>
        <w:rPr>
          <w:rtl w:val="true"/>
        </w:rPr>
        <w:t xml:space="preserve">, </w:t>
      </w:r>
      <w:r>
        <w:rPr>
          <w:rtl w:val="true"/>
        </w:rPr>
        <w:t>ותיאר את התקופה כמתוחה מבחינת בטחונית</w:t>
      </w:r>
      <w:r>
        <w:rPr>
          <w:rtl w:val="true"/>
        </w:rPr>
        <w:t xml:space="preserve">. </w:t>
      </w:r>
      <w:r>
        <w:rPr>
          <w:rtl w:val="true"/>
        </w:rPr>
        <w:t>הנאשם הרבה להסתובב עם חבריו ברחבי עיר מגוריו</w:t>
      </w:r>
      <w:r>
        <w:rPr>
          <w:rtl w:val="true"/>
        </w:rPr>
        <w:t xml:space="preserve">, </w:t>
      </w:r>
      <w:r>
        <w:rPr>
          <w:rtl w:val="true"/>
        </w:rPr>
        <w:t>וכשהבחינו בהתקהלות והתפרעויות</w:t>
      </w:r>
      <w:r>
        <w:rPr>
          <w:rtl w:val="true"/>
        </w:rPr>
        <w:t xml:space="preserve">, </w:t>
      </w:r>
      <w:r>
        <w:rPr>
          <w:rtl w:val="true"/>
        </w:rPr>
        <w:t>השתתפו בהן והחלו יחדיו לזרוק אבנים לעבר כוחות הביטחון</w:t>
      </w:r>
      <w:r>
        <w:rPr>
          <w:rtl w:val="true"/>
        </w:rPr>
        <w:t xml:space="preserve">, </w:t>
      </w:r>
      <w:r>
        <w:rPr>
          <w:rtl w:val="true"/>
        </w:rPr>
        <w:t>לדבריו השוטרים עמדו במרחק מהם והאבנים לא פגעו בהם</w:t>
      </w:r>
      <w:r>
        <w:rPr>
          <w:rtl w:val="true"/>
        </w:rPr>
        <w:t xml:space="preserve">. </w:t>
      </w:r>
      <w:r>
        <w:rPr>
          <w:rtl w:val="true"/>
        </w:rPr>
        <w:t>הנאשם הודה בחלקו בעבירת נשיאת נשק אך טען כי נגרר אחרי חבריו ופעל בחוסר מחשבה ובטפשות והתקשה לבחון לעומק את הנסיבות שעמדו ברקע להתנהגותו</w:t>
      </w:r>
      <w:r>
        <w:rPr>
          <w:rtl w:val="true"/>
        </w:rPr>
        <w:t xml:space="preserve">. </w:t>
      </w:r>
      <w:r>
        <w:rPr>
          <w:rtl w:val="true"/>
        </w:rPr>
        <w:t>עוד שלל עמדות תומכות אלימות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שירות המבחן העריך כי מחזיק בעמדות בלתי מחייבות כלפי החוק וגורמי האכיפה</w:t>
      </w:r>
      <w:r>
        <w:rPr>
          <w:rtl w:val="true"/>
        </w:rPr>
        <w:t xml:space="preserve">, </w:t>
      </w:r>
      <w:r>
        <w:rPr>
          <w:rtl w:val="true"/>
        </w:rPr>
        <w:t>וכי פועל בפזיזות ובחוסר שיקול דעת</w:t>
      </w:r>
      <w:r>
        <w:rPr>
          <w:rtl w:val="true"/>
        </w:rPr>
        <w:t xml:space="preserve">. </w:t>
      </w:r>
      <w:r>
        <w:rPr>
          <w:rtl w:val="true"/>
        </w:rPr>
        <w:t>עוד הוערך כי מתקשה לבחון את חומרת מעשיו והשלכותיהם</w:t>
      </w:r>
      <w:r>
        <w:rPr>
          <w:rtl w:val="true"/>
        </w:rPr>
        <w:t xml:space="preserve">, </w:t>
      </w:r>
      <w:r>
        <w:rPr>
          <w:rtl w:val="true"/>
        </w:rPr>
        <w:t>נוטה לצמצם ממשמעותם ולהשליך את האחריות על אחרים</w:t>
      </w:r>
      <w:r>
        <w:rPr>
          <w:rtl w:val="true"/>
        </w:rPr>
        <w:t xml:space="preserve">. </w:t>
      </w:r>
      <w:r>
        <w:rPr>
          <w:rtl w:val="true"/>
        </w:rPr>
        <w:t>עוד התרשם כי הנאשם מרוכז בעצמו ובמחירים האישיים שמשלם ואינו פנוי לערוך בחינה עצמית אודות דפוסי התנהגותו</w:t>
      </w:r>
      <w:r>
        <w:rPr>
          <w:rtl w:val="true"/>
        </w:rPr>
        <w:t xml:space="preserve">. </w:t>
      </w:r>
      <w:r>
        <w:rPr>
          <w:rtl w:val="true"/>
        </w:rPr>
        <w:t>בנסיבות האמורות לא בא בהמלצה טיפולית והמליץ על הטלת מאסר בפועל וענישה מותנית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. </w:t>
      </w:r>
      <w:r>
        <w:rPr>
          <w:rtl w:val="true"/>
        </w:rPr>
        <w:t>אביו שנפטר לפני מספר שנים נהג כלפיו באלימות פיזית</w:t>
      </w:r>
      <w:r>
        <w:rPr>
          <w:rtl w:val="true"/>
        </w:rPr>
        <w:t xml:space="preserve">. </w:t>
      </w:r>
      <w:r>
        <w:rPr>
          <w:rtl w:val="true"/>
        </w:rPr>
        <w:t>משפחתו סבלה לאורך השנים מקשיים כלכליים והתקשתה לתפקד</w:t>
      </w:r>
      <w:r>
        <w:rPr>
          <w:rtl w:val="true"/>
        </w:rPr>
        <w:t xml:space="preserve">. </w:t>
      </w:r>
      <w:r>
        <w:rPr>
          <w:rtl w:val="true"/>
        </w:rPr>
        <w:t xml:space="preserve">בתום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לימוד החל לעבוד בעבודות מזדמנות</w:t>
      </w:r>
      <w:r>
        <w:rPr>
          <w:rtl w:val="true"/>
        </w:rPr>
        <w:t xml:space="preserve">, </w:t>
      </w:r>
      <w:r>
        <w:rPr>
          <w:rtl w:val="true"/>
        </w:rPr>
        <w:t xml:space="preserve">טרם מעצרו הנוכחי עבד עם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בעיריית תל אביב בתחום הגינון</w:t>
      </w:r>
      <w:r>
        <w:rPr>
          <w:rtl w:val="true"/>
        </w:rPr>
        <w:t xml:space="preserve">. </w:t>
      </w:r>
      <w:r>
        <w:rPr>
          <w:rtl w:val="true"/>
        </w:rPr>
        <w:t xml:space="preserve">בגיל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החל לצרוך קנאביס במפגשים חברתיים ולצרוך אלכוהול באופן קבוע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 הודה בביצוע המעשים אך צמצם מחומרתם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לדבריו הסתובב עם חבריו במוקדי ההתפרעויות ונטל בהן חלק כי הבין שכוחות המשטרה רחוקים ולא מגיבים על מעשיהם</w:t>
      </w:r>
      <w:r>
        <w:rPr>
          <w:rtl w:val="true"/>
        </w:rPr>
        <w:t xml:space="preserve">. </w:t>
      </w:r>
      <w:r>
        <w:rPr>
          <w:rtl w:val="true"/>
        </w:rPr>
        <w:t>באשר לאישומים הנוספים</w:t>
      </w:r>
      <w:r>
        <w:rPr>
          <w:rtl w:val="true"/>
        </w:rPr>
        <w:t xml:space="preserve">, </w:t>
      </w:r>
      <w:r>
        <w:rPr>
          <w:rtl w:val="true"/>
        </w:rPr>
        <w:t>מסר כי קיבל את הנשק מחבר שהשתמש בו בחתונות והחביאו אך לא ידע שהאקדח טעון בכדורים</w:t>
      </w:r>
      <w:r>
        <w:rPr>
          <w:rtl w:val="true"/>
        </w:rPr>
        <w:t xml:space="preserve">. </w:t>
      </w:r>
      <w:r>
        <w:rPr>
          <w:rtl w:val="true"/>
        </w:rPr>
        <w:t xml:space="preserve">בנוסף הודה כי קנה תחמושת מנאשם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ומכר אותה לאחרים</w:t>
      </w:r>
      <w:r>
        <w:rPr>
          <w:rtl w:val="true"/>
        </w:rPr>
        <w:t xml:space="preserve">. </w:t>
      </w:r>
      <w:r>
        <w:rPr>
          <w:rtl w:val="true"/>
        </w:rPr>
        <w:t>שירות המבחן התרשם שהנאשם נטה לצמצם ולטשטש את דפוסי התנהגותו</w:t>
      </w:r>
      <w:r>
        <w:rPr>
          <w:rtl w:val="true"/>
        </w:rPr>
        <w:t xml:space="preserve">, </w:t>
      </w:r>
      <w:r>
        <w:rPr>
          <w:rtl w:val="true"/>
        </w:rPr>
        <w:t>ניכר כי אינו פנוי לערוך בדיקה עצמית ביקורתית ונוטה להשליך מעשיו על גורמים חיצוניים</w:t>
      </w:r>
      <w:r>
        <w:rPr>
          <w:rtl w:val="true"/>
        </w:rPr>
        <w:t xml:space="preserve">. </w:t>
      </w:r>
      <w:r>
        <w:rPr>
          <w:rtl w:val="true"/>
        </w:rPr>
        <w:t>עוד עלה רושם כי נגרר אחרי חברה שולית ואוחז בעמדות בעייתיות בתחום האלימות והנשק ועל כן העריכו כי נשקף ממנו סיכון להישנות התנהגות עוברת חוק בתחום הנשק</w:t>
      </w:r>
      <w:r>
        <w:rPr>
          <w:rtl w:val="true"/>
        </w:rPr>
        <w:t xml:space="preserve">. </w:t>
      </w:r>
      <w:r>
        <w:rPr>
          <w:rtl w:val="true"/>
        </w:rPr>
        <w:t>בנסיבות האמורות לא באו בהמלצה טיפולית והומלץ על ענישה מוחשית והרתעתית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ד</w:t>
      </w:r>
      <w:r>
        <w:rPr>
          <w:rtl w:val="true"/>
        </w:rPr>
        <w:t xml:space="preserve">. </w:t>
      </w:r>
      <w:r>
        <w:rPr>
          <w:rtl w:val="true"/>
        </w:rPr>
        <w:t>ענבר</w:t>
      </w:r>
      <w:r>
        <w:rPr>
          <w:rtl w:val="true"/>
        </w:rPr>
        <w:t xml:space="preserve">, </w:t>
      </w:r>
      <w:r>
        <w:rPr>
          <w:rtl w:val="true"/>
        </w:rPr>
        <w:t>עמד על חומרת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ברקע מצב ביטחוני מתוח ובעיצומו של מבצע </w:t>
      </w:r>
      <w:r>
        <w:rPr>
          <w:rtl w:val="true"/>
        </w:rPr>
        <w:t>'</w:t>
      </w:r>
      <w:r>
        <w:rPr>
          <w:rtl w:val="true"/>
        </w:rPr>
        <w:t>שומר חומות</w:t>
      </w:r>
      <w:r>
        <w:rPr>
          <w:rtl w:val="true"/>
        </w:rPr>
        <w:t xml:space="preserve">',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מעשי הנאשמים חמורים</w:t>
      </w:r>
      <w:r>
        <w:rPr>
          <w:rtl w:val="true"/>
        </w:rPr>
        <w:t xml:space="preserve">, </w:t>
      </w:r>
      <w:r>
        <w:rPr>
          <w:rtl w:val="true"/>
        </w:rPr>
        <w:t>חותרים תחת מרקם החיים המשותפים במדינת ישראל ופוגעים בחוסן הלאומי</w:t>
      </w:r>
      <w:r>
        <w:rPr>
          <w:rtl w:val="true"/>
        </w:rPr>
        <w:t xml:space="preserve">, </w:t>
      </w:r>
      <w:r>
        <w:rPr>
          <w:rtl w:val="true"/>
        </w:rPr>
        <w:t>ולכן ביקש ליתן משקל בגזירת העונש לרחשי התקופה בה בוצעו העבירות</w:t>
      </w:r>
      <w:r>
        <w:rPr>
          <w:rtl w:val="true"/>
        </w:rPr>
        <w:t xml:space="preserve">, </w:t>
      </w:r>
      <w:r>
        <w:rPr>
          <w:rtl w:val="true"/>
        </w:rPr>
        <w:t>כמו גם לתקופה בה נמצאים אנו כיום</w:t>
      </w:r>
      <w:r>
        <w:rPr>
          <w:rtl w:val="true"/>
        </w:rPr>
        <w:t xml:space="preserve">, </w:t>
      </w:r>
      <w:r>
        <w:rPr>
          <w:rtl w:val="true"/>
        </w:rPr>
        <w:t>בצל מלחמה</w:t>
      </w:r>
      <w:r>
        <w:rPr>
          <w:rtl w:val="true"/>
        </w:rPr>
        <w:t xml:space="preserve">. </w:t>
      </w:r>
      <w:r>
        <w:rPr>
          <w:rtl w:val="true"/>
        </w:rPr>
        <w:t>עוד עמד על חומרת עבירות הנשק ועל מעורבות הנאשמים בחברה שולית והנגישות לנשק בלתי חוקי</w:t>
      </w:r>
      <w:r>
        <w:rPr>
          <w:rtl w:val="true"/>
        </w:rPr>
        <w:t xml:space="preserve">. </w:t>
      </w:r>
      <w:r>
        <w:rPr>
          <w:rtl w:val="true"/>
        </w:rPr>
        <w:t xml:space="preserve">בנסיבות האמורות עתר בנוגע לשני הנאשמים בגין עבירות ההתפרעות למתחם הנע בין </w:t>
      </w:r>
      <w:r>
        <w:rPr/>
        <w:t>10-20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ולמתחם ענישה כולל הנע בין </w:t>
      </w:r>
      <w:r>
        <w:rPr/>
        <w:t>66-34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בהתחשב בתסקירים השליליים</w:t>
      </w:r>
      <w:r>
        <w:rPr>
          <w:rtl w:val="true"/>
        </w:rPr>
        <w:t xml:space="preserve">, </w:t>
      </w:r>
      <w:r>
        <w:rPr>
          <w:rtl w:val="true"/>
        </w:rPr>
        <w:t>ובצד זאת הודאתם והיעדר עבר פלילי</w:t>
      </w:r>
      <w:r>
        <w:rPr>
          <w:rtl w:val="true"/>
        </w:rPr>
        <w:t xml:space="preserve">, </w:t>
      </w:r>
      <w:r>
        <w:rPr>
          <w:rtl w:val="true"/>
        </w:rPr>
        <w:t>עתר למקמם בחלקו התחתון של המתחם אך לא בתחתיתו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תילאווי</w:t>
      </w:r>
      <w:r>
        <w:rPr>
          <w:rtl w:val="true"/>
        </w:rPr>
        <w:t xml:space="preserve">, </w:t>
      </w:r>
      <w:r>
        <w:rPr>
          <w:rtl w:val="true"/>
        </w:rPr>
        <w:t>עמד על התיקונים המשמעותיים בכתב האישום שנבעו מקשיים ראייתיים</w:t>
      </w:r>
      <w:r>
        <w:rPr>
          <w:rtl w:val="true"/>
        </w:rPr>
        <w:t xml:space="preserve">, </w:t>
      </w:r>
      <w:r>
        <w:rPr>
          <w:rtl w:val="true"/>
        </w:rPr>
        <w:t>טען כי מעשי הנאשם מצויים ברף חומרה נמוך של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ועתר למתחם כולל הנע בין </w:t>
      </w:r>
      <w:r>
        <w:rPr/>
        <w:t>24-12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בשונה מהתרשמות שירות המבחן</w:t>
      </w:r>
      <w:r>
        <w:rPr>
          <w:rtl w:val="true"/>
        </w:rPr>
        <w:t xml:space="preserve">, </w:t>
      </w:r>
      <w:r>
        <w:rPr>
          <w:rtl w:val="true"/>
        </w:rPr>
        <w:t>הנאשם נוטל אחריות מלאה על מעשיו</w:t>
      </w:r>
      <w:r>
        <w:rPr>
          <w:rtl w:val="true"/>
        </w:rPr>
        <w:t xml:space="preserve">, </w:t>
      </w:r>
      <w:r>
        <w:rPr>
          <w:rtl w:val="true"/>
        </w:rPr>
        <w:t>עוד הדגיש את גילו הצעיר ועברו הנקי ואת תנאי מעצרו הקשים כעצור ביטחוני</w:t>
      </w:r>
      <w:r>
        <w:rPr>
          <w:rtl w:val="true"/>
        </w:rPr>
        <w:t xml:space="preserve">, </w:t>
      </w:r>
      <w:r>
        <w:rPr>
          <w:rtl w:val="true"/>
        </w:rPr>
        <w:t>שמאז פרוץ המלחמה הוחמרו עוד יותר</w:t>
      </w:r>
      <w:r>
        <w:rPr>
          <w:rtl w:val="true"/>
        </w:rPr>
        <w:t xml:space="preserve">. </w:t>
      </w:r>
      <w:r>
        <w:rPr>
          <w:rtl w:val="true"/>
        </w:rPr>
        <w:t>בנסיבות האמורות עתר למקמו בתחתית המתחם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מסראווה</w:t>
      </w:r>
      <w:r>
        <w:rPr>
          <w:rtl w:val="true"/>
        </w:rPr>
        <w:t xml:space="preserve">, </w:t>
      </w:r>
      <w:r>
        <w:rPr>
          <w:rtl w:val="true"/>
        </w:rPr>
        <w:t>טען כי התסקיר אינו משקף נכונה את דברי הנאשם והלכי רוחו</w:t>
      </w:r>
      <w:r>
        <w:rPr>
          <w:rtl w:val="true"/>
        </w:rPr>
        <w:t xml:space="preserve">, </w:t>
      </w:r>
      <w:r>
        <w:rPr>
          <w:rtl w:val="true"/>
        </w:rPr>
        <w:t>לדבריו הנאשם לוקח אחריות מלאה על מעשיו</w:t>
      </w:r>
      <w:r>
        <w:rPr>
          <w:rtl w:val="true"/>
        </w:rPr>
        <w:t xml:space="preserve">, </w:t>
      </w:r>
      <w:r>
        <w:rPr>
          <w:rtl w:val="true"/>
        </w:rPr>
        <w:t>ולא היו לו כל כוונות לפגוע בביטחון המדינה</w:t>
      </w:r>
      <w:r>
        <w:rPr>
          <w:rtl w:val="true"/>
        </w:rPr>
        <w:t xml:space="preserve">, </w:t>
      </w:r>
      <w:r>
        <w:rPr>
          <w:rtl w:val="true"/>
        </w:rPr>
        <w:t>אחיו שירת שירות צבאי בצה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הוצגו אישורים</w:t>
      </w:r>
      <w:r>
        <w:rPr>
          <w:rtl w:val="true"/>
        </w:rPr>
        <w:t xml:space="preserve">). </w:t>
      </w:r>
      <w:r>
        <w:rPr>
          <w:rtl w:val="true"/>
        </w:rPr>
        <w:t xml:space="preserve">עוד ביקש שלא להחמיר עם הנאשם נוכח מצב הלחימה בו אנו מצויים ועתר למתחם כולל הנע בין </w:t>
      </w:r>
      <w:r>
        <w:rPr/>
        <w:t>24-14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למיקומו בתחתיתו ולחפיפת תקופת מאסרו לתקופת מעצרו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 xml:space="preserve">עוד שמעתי את אמו של נאשם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שסיפרה על אופיו הטוב של בנה</w:t>
      </w:r>
      <w:r>
        <w:rPr>
          <w:rtl w:val="true"/>
        </w:rPr>
        <w:t xml:space="preserve">, </w:t>
      </w:r>
      <w:r>
        <w:rPr>
          <w:rtl w:val="true"/>
        </w:rPr>
        <w:t>ועל תרומתו הרבה לפרנסת המשפחה מאז מות אביו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הנאשמים בדברם האחרון</w:t>
      </w:r>
      <w:r>
        <w:rPr>
          <w:rtl w:val="true"/>
        </w:rPr>
        <w:t xml:space="preserve"> הביעו צער על התנהגותם</w:t>
      </w:r>
      <w:r>
        <w:rPr>
          <w:rtl w:val="true"/>
        </w:rPr>
        <w:t xml:space="preserve">, </w:t>
      </w:r>
      <w:r>
        <w:rPr>
          <w:rtl w:val="true"/>
        </w:rPr>
        <w:t>הודו בטעותם והבטיחו שלא לשוב עליה בשנית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 xml:space="preserve">הנאשמים הורשעו במספר אישומים שונים בעבירות שעיקרן נשק ואלימות אשר בוצעו במהלך השנים </w:t>
      </w:r>
      <w:r>
        <w:rPr/>
        <w:t>2021-2022</w:t>
      </w:r>
      <w:r>
        <w:rPr>
          <w:rtl w:val="true"/>
        </w:rPr>
        <w:t xml:space="preserve">, </w:t>
      </w:r>
      <w:r>
        <w:rPr>
          <w:rtl w:val="true"/>
        </w:rPr>
        <w:t>לפיכך ייקבע מתחם נפרד בגין האישום הראשון ומתחם נוסף בגין עבירות הנשק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כפי שעתרה המאשימה</w:t>
      </w:r>
      <w:r>
        <w:rPr>
          <w:rtl w:val="true"/>
        </w:rPr>
        <w:t xml:space="preserve">, </w:t>
      </w:r>
      <w:r>
        <w:rPr>
          <w:rtl w:val="true"/>
        </w:rPr>
        <w:t>מתחם עונשי כולל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מבצע צבאי </w:t>
      </w:r>
      <w:r>
        <w:rPr>
          <w:rtl w:val="true"/>
        </w:rPr>
        <w:t>'</w:t>
      </w:r>
      <w:r>
        <w:rPr>
          <w:rtl w:val="true"/>
        </w:rPr>
        <w:t>שומר חומות</w:t>
      </w:r>
      <w:r>
        <w:rPr>
          <w:rtl w:val="true"/>
        </w:rPr>
        <w:t xml:space="preserve">' </w:t>
      </w:r>
      <w:r>
        <w:rPr>
          <w:rtl w:val="true"/>
        </w:rPr>
        <w:t>ואירועי האלימות שהתרחשו בעקבותיו הרעידו את הארץ</w:t>
      </w:r>
      <w:r>
        <w:rPr>
          <w:rtl w:val="true"/>
        </w:rPr>
        <w:t xml:space="preserve">. </w:t>
      </w:r>
      <w:r>
        <w:rPr>
          <w:rtl w:val="true"/>
        </w:rPr>
        <w:t>בתקופה זו התרחשו אירועי אלימות רבים בין ערבים</w:t>
      </w:r>
      <w:r>
        <w:rPr>
          <w:rtl w:val="true"/>
        </w:rPr>
        <w:t xml:space="preserve">, </w:t>
      </w:r>
      <w:r>
        <w:rPr>
          <w:rtl w:val="true"/>
        </w:rPr>
        <w:t>יהודים וכוחות הביטחון על רקע לאומני גזעני</w:t>
      </w:r>
      <w:r>
        <w:rPr>
          <w:rtl w:val="true"/>
        </w:rPr>
        <w:t xml:space="preserve">, </w:t>
      </w:r>
      <w:r>
        <w:rPr>
          <w:rtl w:val="true"/>
        </w:rPr>
        <w:t>שכללו התפרעויות</w:t>
      </w:r>
      <w:r>
        <w:rPr>
          <w:rtl w:val="true"/>
        </w:rPr>
        <w:t xml:space="preserve">, </w:t>
      </w:r>
      <w:r>
        <w:rPr>
          <w:rtl w:val="true"/>
        </w:rPr>
        <w:t>הצתת כלי רכב</w:t>
      </w:r>
      <w:r>
        <w:rPr>
          <w:rtl w:val="true"/>
        </w:rPr>
        <w:t xml:space="preserve">, </w:t>
      </w:r>
      <w:r>
        <w:rPr>
          <w:rtl w:val="true"/>
        </w:rPr>
        <w:t>השלכת בקבוקי תבערה</w:t>
      </w:r>
      <w:r>
        <w:rPr>
          <w:rtl w:val="true"/>
        </w:rPr>
        <w:t xml:space="preserve">, </w:t>
      </w:r>
      <w:r>
        <w:rPr>
          <w:rtl w:val="true"/>
        </w:rPr>
        <w:t>יידוי אבנים לעבר כוחות הביטחון ומכוניות נוסעות</w:t>
      </w:r>
      <w:r>
        <w:rPr>
          <w:rtl w:val="true"/>
        </w:rPr>
        <w:t xml:space="preserve">, </w:t>
      </w:r>
      <w:r>
        <w:rPr>
          <w:rtl w:val="true"/>
        </w:rPr>
        <w:t>הבערת צמיגים וחסימת כבישים</w:t>
      </w:r>
      <w:r>
        <w:rPr>
          <w:rtl w:val="true"/>
        </w:rPr>
        <w:t xml:space="preserve">. </w:t>
      </w:r>
      <w:r>
        <w:rPr>
          <w:rtl w:val="true"/>
        </w:rPr>
        <w:t>הזמן שחלף מאז לא הקהה מחומרת המעשים והסיכון הרב שגלום בהם</w:t>
      </w:r>
      <w:r>
        <w:rPr>
          <w:rtl w:val="true"/>
        </w:rPr>
        <w:t xml:space="preserve">,  </w:t>
      </w:r>
      <w:r>
        <w:rPr>
          <w:rtl w:val="true"/>
        </w:rPr>
        <w:t>מדובר במעשים שעלולים להביא לפגיעה בחפים מפשע וגלומה בהם פגיעה קשה בערכים המוגנים של שמירה על שלומו וביטחונו של הציבור</w:t>
      </w:r>
      <w:r>
        <w:rPr>
          <w:rtl w:val="true"/>
        </w:rPr>
        <w:t xml:space="preserve">, </w:t>
      </w:r>
      <w:r>
        <w:rPr>
          <w:rtl w:val="true"/>
        </w:rPr>
        <w:t>בסדר הציבורי וסדרי שלטון ומשפט</w:t>
      </w:r>
      <w:r>
        <w:rPr>
          <w:rtl w:val="true"/>
        </w:rPr>
        <w:t>: "</w:t>
      </w:r>
      <w:r>
        <w:rPr>
          <w:b/>
          <w:b/>
          <w:bCs/>
          <w:rtl w:val="true"/>
        </w:rPr>
        <w:t>במציאות הישראלית יש בביצוע עבירות על רקע אידיאולוגי המביאות להעמקת האיבה בין קבוצות שונות של האוכלוסיה משום ערעור על סדרי המשטר הדמוקרטי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8469/99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אסכין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1.1.2001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בית המשפט עמד פעמים רבות על החומרה הגלומה בעבירות של התפרעות המונית ועל הסכנה הכרוכה בהן לחיי אדם ולרכוש</w:t>
      </w:r>
      <w:r>
        <w:rPr>
          <w:rtl w:val="true"/>
        </w:rPr>
        <w:t xml:space="preserve">, </w:t>
      </w:r>
      <w:r>
        <w:rPr>
          <w:rtl w:val="true"/>
        </w:rPr>
        <w:t>ובכללם אנשי המשטרה וכחות הבטחון</w:t>
      </w:r>
      <w:r>
        <w:rPr>
          <w:rtl w:val="true"/>
        </w:rPr>
        <w:t xml:space="preserve">. </w:t>
      </w:r>
      <w:r>
        <w:rPr>
          <w:rtl w:val="true"/>
        </w:rPr>
        <w:t xml:space="preserve">עוד נקבע כי  </w:t>
      </w:r>
      <w:r>
        <w:rPr>
          <w:rFonts w:eastAsia="Times New Roman"/>
          <w:color w:val="000000"/>
          <w:rtl w:val="true"/>
        </w:rPr>
        <w:t xml:space="preserve">יש לנקוט במדיניות ענישה אשר </w:t>
      </w:r>
      <w:r>
        <w:rPr>
          <w:rFonts w:eastAsia="Times New Roman"/>
          <w:color w:val="000000"/>
          <w:rtl w:val="true"/>
        </w:rPr>
        <w:t>תבטא את סלידת החברה ממעשים אלו</w:t>
      </w:r>
      <w:r>
        <w:rPr>
          <w:rFonts w:eastAsia="Times New Roman"/>
          <w:color w:val="000000"/>
          <w:rtl w:val="true"/>
        </w:rPr>
        <w:t xml:space="preserve">, </w:t>
      </w:r>
      <w:r>
        <w:rPr>
          <w:rFonts w:eastAsia="Times New Roman"/>
          <w:color w:val="000000"/>
          <w:rtl w:val="true"/>
        </w:rPr>
        <w:t>תרתיע ותרסן התפרעויות העלולות לסחוף המון רב ולצאת מגדר שליטה</w:t>
      </w:r>
      <w:r>
        <w:rPr>
          <w:rFonts w:eastAsia="Times New Roman"/>
          <w:color w:val="000000"/>
          <w:rtl w:val="true"/>
        </w:rPr>
        <w:t xml:space="preserve"> </w:t>
      </w:r>
      <w:r>
        <w:rPr>
          <w:rFonts w:eastAsia="Times New Roman"/>
          <w:color w:val="000000"/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901/22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אסווד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24.02.</w:t>
      </w:r>
      <w:r>
        <w:rPr/>
        <w:t>20</w:t>
      </w:r>
      <w:r>
        <w:rPr/>
        <w:t>22</w:t>
      </w:r>
      <w:r>
        <w:rPr>
          <w:rtl w:val="true"/>
        </w:rPr>
        <w:t>)</w:t>
      </w:r>
      <w:r>
        <w:rPr>
          <w:rFonts w:eastAsia="Times New Roman"/>
          <w:color w:val="000000"/>
          <w:spacing w:val="10"/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3793/18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3.05.</w:t>
      </w:r>
      <w:r>
        <w:rPr/>
        <w:t>20</w:t>
      </w:r>
      <w:r>
        <w:rPr/>
        <w:t>20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6216/19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דארי 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24.5.20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 דארי</w:t>
      </w:r>
      <w:r>
        <w:rPr>
          <w:rtl w:val="true"/>
        </w:rPr>
        <w:t xml:space="preserve">")).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אם לא די בכך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הורשעו הנאשמים גם בעבירות הנשק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מעשיהם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החמורים כשלעצמם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פגעו פגיעה קשה בערכים המוגנים של </w:t>
      </w:r>
      <w:r>
        <w:rPr>
          <w:rtl w:val="true"/>
        </w:rPr>
        <w:t>שמירה על חיי אדם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לומם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Fonts w:ascii="Times New Roman" w:hAnsi="Times New Roman" w:eastAsia="Times New Roman" w:cs="Times New Roman"/>
          <w:rtl w:val="true"/>
        </w:rPr>
        <w:t>תחושת הביטחון של כלל אזרחי המדינה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מגמת הפסיקה בשנים האחרונות נוקשה ועקבית ומלמדת על החמרה בענישה לצורך מיגורן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מתן משקל כבד לשיקולי הרתעה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hyperlink r:id="rId22">
        <w:r>
          <w:rPr>
            <w:rStyle w:val="Hyperlink"/>
            <w:color w:val="0000FF"/>
            <w:u w:val="single"/>
          </w:rPr>
          <w:t>78/21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31.7.</w:t>
      </w:r>
      <w:r>
        <w:rPr/>
        <w:t>2013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תיקון </w:t>
      </w:r>
      <w:r>
        <w:rPr>
          <w:rFonts w:eastAsia="Times New Roman" w:cs="Times New Roman" w:ascii="Times New Roman" w:hAnsi="Times New Roman"/>
        </w:rPr>
        <w:t>140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שנכנס לתוקפו בשלהי שנת </w:t>
      </w:r>
      <w:r>
        <w:rPr>
          <w:rFonts w:eastAsia="Times New Roman" w:cs="Times New Roman" w:ascii="Times New Roman" w:hAnsi="Times New Roman"/>
        </w:rPr>
        <w:t>2021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רלוונטי לעניינו של נאשם </w:t>
      </w:r>
      <w:r>
        <w:rPr>
          <w:rFonts w:eastAsia="Times New Roman" w:cs="Times New Roman" w:ascii="Times New Roman" w:hAnsi="Times New Roman"/>
        </w:rPr>
        <w:t>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אך רוחו שורה גם ביחס למעשיו של נאשם 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u w:val="single"/>
          <w:rtl w:val="true"/>
        </w:rPr>
        <w:t>באשר לעבירות מושא האישום השני</w:t>
      </w:r>
      <w:r>
        <w:rPr>
          <w:rtl w:val="true"/>
        </w:rPr>
        <w:t xml:space="preserve">, </w:t>
      </w:r>
      <w:r>
        <w:rPr>
          <w:rtl w:val="true"/>
        </w:rPr>
        <w:t>הנאשמים שניהם נטלו חלק בהתפרעות שהתרחשה בעיר טייבה</w:t>
      </w:r>
      <w:r>
        <w:rPr>
          <w:rtl w:val="true"/>
        </w:rPr>
        <w:t xml:space="preserve">, </w:t>
      </w:r>
      <w:r>
        <w:rPr>
          <w:rtl w:val="true"/>
        </w:rPr>
        <w:t>אשר כללה חסימות צומת על ידי צמיגים והבערתם ויידוי אבנים ובקבוקי תבערה לעבר כוחות המשטרה שנכחו במקום</w:t>
      </w:r>
      <w:r>
        <w:rPr>
          <w:rtl w:val="true"/>
        </w:rPr>
        <w:t xml:space="preserve">. </w:t>
      </w:r>
      <w:r>
        <w:rPr>
          <w:rtl w:val="true"/>
        </w:rPr>
        <w:t>הנאשמים נטלו חלק פעיל בהתפרעות ויידו אבנים לעבר שוטרים שעמדו בקרבת מקום</w:t>
      </w:r>
      <w:r>
        <w:rPr>
          <w:rtl w:val="true"/>
        </w:rPr>
        <w:t xml:space="preserve">. </w:t>
      </w:r>
      <w:r>
        <w:rPr>
          <w:rtl w:val="true"/>
        </w:rPr>
        <w:t xml:space="preserve">המעשים בוצעו בעיצומם של ימי מבצע </w:t>
      </w:r>
      <w:r>
        <w:rPr>
          <w:rtl w:val="true"/>
        </w:rPr>
        <w:t>"</w:t>
      </w:r>
      <w:r>
        <w:rPr>
          <w:rtl w:val="true"/>
        </w:rPr>
        <w:t>שומר חומות</w:t>
      </w:r>
      <w:r>
        <w:rPr>
          <w:rtl w:val="true"/>
        </w:rPr>
        <w:t xml:space="preserve">", </w:t>
      </w:r>
      <w:r>
        <w:rPr>
          <w:rtl w:val="true"/>
        </w:rPr>
        <w:t>כל כולם מלמדים על כוונת הפורעים לזרוע פחד ואימה ולפגוע בסדר הציבורי</w:t>
      </w:r>
      <w:r>
        <w:rPr>
          <w:rtl w:val="true"/>
        </w:rPr>
        <w:t xml:space="preserve">. </w:t>
      </w:r>
      <w:r>
        <w:rPr>
          <w:rtl w:val="true"/>
        </w:rPr>
        <w:t>הנאשמים טענו בתסקיריהם שנקלעו באופן אקראי למהומות וכי לא הייתה להם כוונה לפגוע בכוחות הביטחון</w:t>
      </w:r>
      <w:r>
        <w:rPr>
          <w:rtl w:val="true"/>
        </w:rPr>
        <w:t xml:space="preserve">. </w:t>
      </w:r>
      <w:r>
        <w:rPr>
          <w:rtl w:val="true"/>
        </w:rPr>
        <w:t>אין בכך כדי להקל מחומרתם</w:t>
      </w:r>
      <w:r>
        <w:rPr>
          <w:rtl w:val="true"/>
        </w:rPr>
        <w:t xml:space="preserve">. </w:t>
      </w:r>
      <w:r>
        <w:rPr>
          <w:rtl w:val="true"/>
        </w:rPr>
        <w:t>אף אם לא בוצעו מתוך מניע גזעני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הם היו מודעים היטב לטיב מעשיהם</w:t>
      </w:r>
      <w:r>
        <w:rPr>
          <w:rtl w:val="true"/>
        </w:rPr>
        <w:t xml:space="preserve">, </w:t>
      </w:r>
      <w:r>
        <w:rPr>
          <w:rtl w:val="true"/>
        </w:rPr>
        <w:t xml:space="preserve">בחרו להיות מעורבים אקטיבית במעשי ההתפרעות וידויי האבנים ובכך אף חיזקו את ידיהם של הפורעים האחרים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807/99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עזיזיאן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8.12.99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10423/07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סיטרין</w:t>
      </w:r>
      <w:r>
        <w:rPr>
          <w:rtl w:val="true"/>
        </w:rPr>
        <w:t xml:space="preserve">, </w:t>
      </w:r>
      <w:r>
        <w:rPr/>
        <w:t>11.6.2008</w:t>
      </w:r>
      <w:r>
        <w:rPr>
          <w:rtl w:val="true"/>
        </w:rPr>
        <w:t xml:space="preserve">)).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לא נטען שהיו מעורבים בהשלכת בקבוקי תבערה</w:t>
      </w:r>
      <w:r>
        <w:rPr>
          <w:rtl w:val="true"/>
        </w:rPr>
        <w:t xml:space="preserve">, </w:t>
      </w:r>
      <w:r>
        <w:rPr>
          <w:rtl w:val="true"/>
        </w:rPr>
        <w:t>שמעשיהם מתוכננים ושהצטיידו מראש בנשק</w:t>
      </w:r>
      <w:r>
        <w:rPr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בחינת מידת פגיעת מעשי הנאשמים בערכים המוגנים מובילה למסקנה כי היא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ברף הבינוני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נסיבות מעשי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במסגרת האישום הרביעי מצויות ברף חומרה גבוה</w:t>
      </w:r>
      <w:r>
        <w:rPr>
          <w:rtl w:val="true"/>
        </w:rPr>
        <w:t xml:space="preserve">. </w:t>
      </w:r>
      <w:r>
        <w:rPr>
          <w:rtl w:val="true"/>
        </w:rPr>
        <w:t>הנאשם נענה לבקשת חברו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והסתיר בבית סבו את האקדח שמסר לו</w:t>
      </w:r>
      <w:r>
        <w:rPr>
          <w:rtl w:val="true"/>
        </w:rPr>
        <w:t xml:space="preserve">. </w:t>
      </w:r>
      <w:r>
        <w:rPr>
          <w:rtl w:val="true"/>
        </w:rPr>
        <w:t>בהמשך נטל חלק מרכזי ואקטיבי בהובלת האקדח משטחי האזור לתחומי המדינה</w:t>
      </w:r>
      <w:r>
        <w:rPr>
          <w:rtl w:val="true"/>
        </w:rPr>
        <w:t xml:space="preserve">, </w:t>
      </w:r>
      <w:r>
        <w:rPr>
          <w:rtl w:val="true"/>
        </w:rPr>
        <w:t xml:space="preserve">כשהוא מצליח להערים על כוחות הבטחון ונכנס לארץ דרך פרצה בגדר המערכת כשהאקדח על גופו בעוד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ממתין לו מן העבר השני ומסיעו למקום מבטחים</w:t>
      </w:r>
      <w:r>
        <w:rPr>
          <w:rtl w:val="true"/>
        </w:rPr>
        <w:t xml:space="preserve">. </w:t>
      </w:r>
      <w:r>
        <w:rPr>
          <w:rtl w:val="true"/>
        </w:rPr>
        <w:t>מדובר באירוע מתוכנן</w:t>
      </w:r>
      <w:r>
        <w:rPr>
          <w:rtl w:val="true"/>
        </w:rPr>
        <w:t xml:space="preserve">, </w:t>
      </w:r>
      <w:r>
        <w:rPr>
          <w:rtl w:val="true"/>
        </w:rPr>
        <w:t>שבוצע בצוותא וחלקו היחסי של הנאשם משמעותי</w:t>
      </w:r>
      <w:r>
        <w:rPr>
          <w:rtl w:val="true"/>
        </w:rPr>
        <w:t xml:space="preserve">. </w:t>
      </w:r>
      <w:r>
        <w:rPr>
          <w:rtl w:val="true"/>
        </w:rPr>
        <w:t>בניגוד לטענתו בתסקיר אין המדובר במעשה נמהר וטפשי</w:t>
      </w:r>
      <w:r>
        <w:rPr>
          <w:rtl w:val="true"/>
        </w:rPr>
        <w:t xml:space="preserve">, </w:t>
      </w:r>
      <w:r>
        <w:rPr>
          <w:rtl w:val="true"/>
        </w:rPr>
        <w:t>הנאשם היה מודע למעשיו וגם אם אניח שעשה זאת כדי לרצות את חברו</w:t>
      </w:r>
      <w:r>
        <w:rPr>
          <w:rtl w:val="true"/>
        </w:rPr>
        <w:t xml:space="preserve">, </w:t>
      </w:r>
      <w:r>
        <w:rPr>
          <w:rtl w:val="true"/>
        </w:rPr>
        <w:t>ואין מדובר בנשק שבבעלותו</w:t>
      </w:r>
      <w:r>
        <w:rPr>
          <w:rtl w:val="true"/>
        </w:rPr>
        <w:t xml:space="preserve">, </w:t>
      </w:r>
      <w:r>
        <w:rPr>
          <w:rtl w:val="true"/>
        </w:rPr>
        <w:t>אין בכך כדי להמעיט את חומרת מעשיו ומידת אחריותו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57" w:start="714" w:end="0"/>
        <w:contextualSpacing/>
        <w:jc w:val="both"/>
        <w:rPr/>
      </w:pPr>
      <w:r>
        <w:rPr>
          <w:rtl w:val="true"/>
        </w:rPr>
        <w:t xml:space="preserve">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הורשע בהחזקת אקדח טעון בביתו וקניית תחמושת מנאשם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במטרה לסחור בה ומכירתה לאחר</w:t>
      </w:r>
      <w:r>
        <w:rPr>
          <w:rtl w:val="true"/>
        </w:rPr>
        <w:t xml:space="preserve">. </w:t>
      </w:r>
      <w:r>
        <w:rPr>
          <w:rtl w:val="true"/>
        </w:rPr>
        <w:t>מעשיו מעידים שנטוע עמוק בעולם הנשק הבלתי חוקי</w:t>
      </w:r>
      <w:r>
        <w:rPr>
          <w:rtl w:val="true"/>
        </w:rPr>
        <w:t xml:space="preserve">, </w:t>
      </w:r>
      <w:r>
        <w:rPr>
          <w:rtl w:val="true"/>
        </w:rPr>
        <w:t xml:space="preserve">פגיעת מעשיו בערכים המוגנים הינה ברף חומרה </w:t>
      </w:r>
      <w:r>
        <w:rPr>
          <w:b/>
          <w:b/>
          <w:bCs/>
          <w:rtl w:val="true"/>
        </w:rPr>
        <w:t>בינוני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הפסיקה </w:t>
      </w:r>
      <w:r>
        <w:rPr>
          <w:rtl w:val="true"/>
        </w:rPr>
        <w:t xml:space="preserve"> מורה על החמרה בענישה בגין עבירות של התפרעות המונים הנובעות ממניע גזעני</w:t>
      </w:r>
      <w:r>
        <w:rPr>
          <w:rtl w:val="true"/>
        </w:rPr>
        <w:t xml:space="preserve">, </w:t>
      </w:r>
      <w:r>
        <w:rPr>
          <w:rtl w:val="true"/>
        </w:rPr>
        <w:t xml:space="preserve">הדברים נכונים ביתר שאת </w:t>
      </w:r>
      <w:r>
        <w:rPr>
          <w:rtl w:val="true"/>
        </w:rPr>
        <w:t>שעה שהמעשים</w:t>
      </w:r>
      <w:r>
        <w:rPr>
          <w:rtl w:val="true"/>
        </w:rPr>
        <w:t xml:space="preserve"> בוצעו בעיצומה של תקופה מתוחה ונפיצה במיוחד</w:t>
      </w:r>
      <w:r>
        <w:rPr>
          <w:rtl w:val="true"/>
        </w:rPr>
        <w:t>, "</w:t>
      </w:r>
      <w:r>
        <w:rPr>
          <w:b/>
          <w:b/>
          <w:bCs/>
          <w:rtl w:val="true"/>
        </w:rPr>
        <w:t>התפרעויות של המונים בכלל ועל רקע לאומני 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צריכות לזכות לתגובה עונשית קשה וכואבת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יהיה מוצאם של המתפרעים אשר יהיה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 נוהגת מדינת 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וכך זכאים לצפות כל הבאים בשעריו של בית המשפט</w:t>
      </w:r>
      <w:r>
        <w:rPr>
          <w:rtl w:val="true"/>
        </w:rPr>
        <w:t>" 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2285/05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חמד</w:t>
      </w:r>
      <w:r>
        <w:rPr>
          <w:rtl w:val="true"/>
        </w:rPr>
        <w:t xml:space="preserve">, </w:t>
      </w:r>
      <w:r>
        <w:rPr>
          <w:rtl w:val="true"/>
        </w:rPr>
        <w:t>(</w:t>
      </w:r>
      <w:r>
        <w:rPr/>
        <w:t>5.12.2005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577/22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אוחנינה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6.3.2022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tl w:val="true"/>
        </w:rPr>
        <w:t xml:space="preserve">',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ומתמשכת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b/>
          <w:b/>
          <w:bCs/>
          <w:rtl w:val="true"/>
        </w:rPr>
        <w:t xml:space="preserve">עניין דארי </w:t>
      </w:r>
      <w:r>
        <w:rPr>
          <w:rtl w:val="true"/>
        </w:rPr>
        <w:t>נדחה ערעור של מערער שהורשע בעבירות של התפרעות וניסיון לתקיפת שוטר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יידה מספר אבנים לעבר כוחות הביטחון ממרחק של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24-10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במועד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ובנוסף הפעלה במצטבר של שלושה 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סך הכל מאסר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80" w:end="0"/>
        <w:contextualSpacing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נגאר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</w:t>
      </w:r>
      <w:r>
        <w:rPr/>
        <w:t>20</w:t>
      </w:r>
      <w:r>
        <w:rPr/>
        <w:t>16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45-20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0"/>
        <w:ind w:start="7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4770/18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12.7.2018</w:t>
      </w:r>
      <w:r>
        <w:rPr>
          <w:rtl w:val="true"/>
        </w:rPr>
        <w:t xml:space="preserve">)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והתפרעות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0"/>
        <w:ind w:start="78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26952-04-22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אנטקלי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9.5.2022</w:t>
      </w:r>
      <w:r>
        <w:rPr>
          <w:rtl w:val="true"/>
        </w:rPr>
        <w:t xml:space="preserve">) </w:t>
      </w:r>
      <w:r>
        <w:rPr>
          <w:rtl w:val="true"/>
        </w:rPr>
        <w:t>התקבל ערעור המדינה בעניינו של משיב שהורשע בשלוש עבירות התפרעות ושלוש עבירות של הפרעה לשוטר בנסיבות מחמירות</w:t>
      </w:r>
      <w:r>
        <w:rPr>
          <w:rtl w:val="true"/>
        </w:rPr>
        <w:t xml:space="preserve">. </w:t>
      </w:r>
      <w:r>
        <w:rPr>
          <w:rtl w:val="true"/>
        </w:rPr>
        <w:t>המשיב נטל חלק במספר מוקדי התפרעות</w:t>
      </w:r>
      <w:r>
        <w:rPr>
          <w:rtl w:val="true"/>
        </w:rPr>
        <w:t xml:space="preserve">, </w:t>
      </w:r>
      <w:r>
        <w:rPr>
          <w:rtl w:val="true"/>
        </w:rPr>
        <w:t>בהם יידה אבנים לעבר שוטרים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בהתפרעויות שבהן השתתף המשיב נזרקו אבנים נוספות על שוטרים</w:t>
      </w:r>
      <w:r>
        <w:rPr>
          <w:rtl w:val="true"/>
        </w:rPr>
        <w:t xml:space="preserve">, </w:t>
      </w:r>
      <w:r>
        <w:rPr>
          <w:rtl w:val="true"/>
        </w:rPr>
        <w:t>גם באמצעות רוגטקות</w:t>
      </w:r>
      <w:r>
        <w:rPr>
          <w:rtl w:val="true"/>
        </w:rPr>
        <w:t xml:space="preserve">, </w:t>
      </w:r>
      <w:r>
        <w:rPr>
          <w:rtl w:val="true"/>
        </w:rPr>
        <w:t>נחסם כביש באמצעות עצים שהונחו והוצתו</w:t>
      </w:r>
      <w:r>
        <w:rPr>
          <w:rtl w:val="true"/>
        </w:rPr>
        <w:t xml:space="preserve">, </w:t>
      </w:r>
      <w:r>
        <w:rPr>
          <w:rtl w:val="true"/>
        </w:rPr>
        <w:t>והוצתה דלת כניסה למלון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נקבע מתחם ענישה הנע בין </w:t>
      </w:r>
      <w:r>
        <w:rPr/>
        <w:t>24-8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העמיד עונשו על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חלף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שהשית עליו בית משפט השלום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26998-04-22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היג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9.5.2022</w:t>
      </w:r>
      <w:r>
        <w:rPr>
          <w:rtl w:val="true"/>
        </w:rPr>
        <w:t xml:space="preserve">) </w:t>
      </w:r>
      <w:r>
        <w:rPr>
          <w:rtl w:val="true"/>
        </w:rPr>
        <w:t>התקבל ערעור המדינה בעניינו של משיב שהורשע בעבירות של התפרעות</w:t>
      </w:r>
      <w:r>
        <w:rPr>
          <w:rtl w:val="true"/>
        </w:rPr>
        <w:t xml:space="preserve">, </w:t>
      </w:r>
      <w:r>
        <w:rPr>
          <w:rtl w:val="true"/>
        </w:rPr>
        <w:t>ניסיון לתקיפת שוטר בנסיבות מחמירות</w:t>
      </w:r>
      <w:r>
        <w:rPr>
          <w:rtl w:val="true"/>
        </w:rPr>
        <w:t xml:space="preserve">, </w:t>
      </w:r>
      <w:r>
        <w:rPr>
          <w:rtl w:val="true"/>
        </w:rPr>
        <w:t>היזק בזדון ואיומים</w:t>
      </w:r>
      <w:r>
        <w:rPr>
          <w:rtl w:val="true"/>
        </w:rPr>
        <w:t xml:space="preserve">. </w:t>
      </w:r>
      <w:r>
        <w:rPr>
          <w:rtl w:val="true"/>
        </w:rPr>
        <w:t>המשיב נטל חלק בהתפרעות</w:t>
      </w:r>
      <w:r>
        <w:rPr>
          <w:rtl w:val="true"/>
        </w:rPr>
        <w:t xml:space="preserve">, </w:t>
      </w:r>
      <w:r>
        <w:rPr>
          <w:rtl w:val="true"/>
        </w:rPr>
        <w:t>ובעודו רעול פנים יידה אבנים לעבר שוטרים ממרחק של 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חלק מהאבנים פגעו בניידת משטרה</w:t>
      </w:r>
      <w:r>
        <w:rPr>
          <w:rtl w:val="true"/>
        </w:rPr>
        <w:t xml:space="preserve">. </w:t>
      </w:r>
      <w:r>
        <w:rPr>
          <w:rtl w:val="true"/>
        </w:rPr>
        <w:t>בהמשך נאבק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tl w:val="true"/>
        </w:rPr>
        <w:t xml:space="preserve">, </w:t>
      </w:r>
      <w:r>
        <w:rPr>
          <w:rtl w:val="true"/>
        </w:rPr>
        <w:t>ירק ואיים על שוטרים שניסו לעצור אותו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24-8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העמיד עונשו על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חלף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שהשית עליו בית משפט השלום</w:t>
      </w:r>
      <w:r>
        <w:rPr>
          <w:rtl w:val="true"/>
        </w:rPr>
        <w:t>;</w:t>
      </w:r>
    </w:p>
    <w:p>
      <w:pPr>
        <w:pStyle w:val="Normal"/>
        <w:spacing w:lineRule="auto" w:line="360" w:before="0" w:after="0"/>
        <w:ind w:start="78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>עיינתי בפסיקה שהוגשה על ידי ההגנה</w:t>
      </w:r>
      <w:r>
        <w:rPr>
          <w:rtl w:val="true"/>
        </w:rPr>
        <w:t xml:space="preserve">, </w:t>
      </w:r>
      <w:r>
        <w:rPr>
          <w:rtl w:val="true"/>
        </w:rPr>
        <w:t>רובה פסיקת בתי משפט שלום</w:t>
      </w:r>
      <w:r>
        <w:rPr>
          <w:rtl w:val="true"/>
        </w:rPr>
        <w:t xml:space="preserve">, </w:t>
      </w:r>
      <w:r>
        <w:rPr>
          <w:rtl w:val="true"/>
        </w:rPr>
        <w:t>בה נדונו נאשמים בביצוע עבירות דומות במהלך ימי מבצע שומר חומות</w:t>
      </w:r>
      <w:r>
        <w:rPr>
          <w:rtl w:val="true"/>
        </w:rPr>
        <w:t xml:space="preserve">, </w:t>
      </w:r>
      <w:r>
        <w:rPr>
          <w:rtl w:val="true"/>
        </w:rPr>
        <w:t xml:space="preserve">בחלקה נקבע מתחם מתון 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35543-05-21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עאזם </w:t>
      </w:r>
      <w:r>
        <w:rPr>
          <w:rtl w:val="true"/>
        </w:rPr>
        <w:t>(</w:t>
      </w:r>
      <w:r>
        <w:rPr/>
        <w:t>19.1.22</w:t>
      </w:r>
      <w:r>
        <w:rPr>
          <w:rtl w:val="true"/>
        </w:rPr>
        <w:t xml:space="preserve">)), </w:t>
      </w:r>
      <w:r>
        <w:rPr>
          <w:rtl w:val="true"/>
        </w:rPr>
        <w:t xml:space="preserve">ובחלקה מתחם ענישה ברוח מדיניות הענישה הנוהגת  </w:t>
      </w:r>
      <w:r>
        <w:rPr>
          <w:rtl w:val="true"/>
        </w:rPr>
        <w:t>((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9143-06-21</w:t>
      </w:r>
      <w:r>
        <w:rPr>
          <w:rtl w:val="true"/>
        </w:rPr>
        <w:t xml:space="preserve"> (</w:t>
      </w:r>
      <w:r>
        <w:rPr>
          <w:rtl w:val="true"/>
        </w:rPr>
        <w:t>שלום חיפה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בלאה </w:t>
      </w:r>
      <w:r>
        <w:rPr>
          <w:rtl w:val="true"/>
        </w:rPr>
        <w:t>(</w:t>
      </w:r>
      <w:r>
        <w:rPr/>
        <w:t>3.11.22</w:t>
      </w:r>
      <w:r>
        <w:rPr>
          <w:rtl w:val="true"/>
        </w:rPr>
        <w:t xml:space="preserve">) 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 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28963-08-21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זעתרי </w:t>
      </w:r>
      <w:r>
        <w:rPr>
          <w:rtl w:val="true"/>
        </w:rPr>
        <w:t>(</w:t>
      </w:r>
      <w:r>
        <w:rPr/>
        <w:t>28.11.21</w:t>
      </w:r>
      <w:r>
        <w:rPr>
          <w:rtl w:val="true"/>
        </w:rPr>
        <w:t xml:space="preserve">) ;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היג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 xml:space="preserve">א </w:t>
      </w:r>
      <w:r>
        <w:rPr>
          <w:rtl w:val="true"/>
        </w:rPr>
        <w:t>(</w:t>
      </w:r>
      <w:r>
        <w:rPr/>
        <w:t>9.5.22</w:t>
      </w:r>
      <w:r>
        <w:rPr>
          <w:rtl w:val="true"/>
        </w:rPr>
        <w:t xml:space="preserve">)). 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לפיכך אני קובעת בגין האישום השני מתחם ענישה שנע בין </w:t>
      </w:r>
      <w:r>
        <w:rPr>
          <w:b/>
          <w:bCs/>
        </w:rPr>
        <w:t>8-18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אשר לעבירות הנשק</w:t>
      </w:r>
      <w:r>
        <w:rPr>
          <w:rtl w:val="true"/>
        </w:rPr>
        <w:t xml:space="preserve">: </w:t>
      </w:r>
      <w:r>
        <w:rPr>
          <w:rtl w:val="true"/>
        </w:rPr>
        <w:t xml:space="preserve">מתחם הענישה </w:t>
      </w:r>
      <w:r>
        <w:rPr>
          <w:b/>
          <w:b/>
          <w:bCs/>
          <w:rtl w:val="true"/>
        </w:rPr>
        <w:t>בעבירות הובלה</w:t>
      </w:r>
      <w:r>
        <w:rPr>
          <w:b/>
          <w:bCs/>
          <w:rtl w:val="true"/>
        </w:rPr>
        <w:t xml:space="preserve">/ </w:t>
      </w:r>
      <w:r>
        <w:rPr>
          <w:b/>
          <w:b/>
          <w:bCs/>
          <w:rtl w:val="true"/>
        </w:rPr>
        <w:t>נשיאת אקדח</w:t>
      </w:r>
      <w:r>
        <w:rPr>
          <w:rtl w:val="true"/>
        </w:rPr>
        <w:t xml:space="preserve"> ברכב נע על דרך הכלל בין </w:t>
      </w:r>
      <w:r>
        <w:rPr/>
        <w:t>40-20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r>
        <w:rPr>
          <w:rtl w:val="true"/>
        </w:rPr>
        <w:t xml:space="preserve">ראה 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16752-10-20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סרסור </w:t>
      </w:r>
      <w:r>
        <w:rPr>
          <w:rtl w:val="true"/>
        </w:rPr>
        <w:t>(</w:t>
      </w:r>
      <w:r>
        <w:rPr>
          <w:rtl w:val="true"/>
        </w:rPr>
        <w:t xml:space="preserve">גזר דיני מיום </w:t>
      </w:r>
      <w:r>
        <w:rPr/>
        <w:t>16.4.23</w:t>
      </w:r>
      <w:r>
        <w:rPr>
          <w:rtl w:val="true"/>
        </w:rPr>
        <w:t xml:space="preserve"> </w:t>
      </w:r>
      <w:r>
        <w:rPr>
          <w:rtl w:val="true"/>
        </w:rPr>
        <w:t>וההפניות שם</w:t>
      </w:r>
      <w:r>
        <w:rPr>
          <w:rtl w:val="true"/>
        </w:rPr>
        <w:t xml:space="preserve">)) </w:t>
      </w:r>
      <w:r>
        <w:rPr>
          <w:rtl w:val="true"/>
        </w:rPr>
        <w:t xml:space="preserve">ובעבירה של  </w:t>
      </w:r>
      <w:r>
        <w:rPr>
          <w:b/>
          <w:b/>
          <w:bCs/>
          <w:rtl w:val="true"/>
        </w:rPr>
        <w:t>החזקת אקדח</w:t>
      </w:r>
      <w:r>
        <w:rPr>
          <w:rtl w:val="true"/>
        </w:rPr>
        <w:t xml:space="preserve"> טעון נע על דרך הכלל בין </w:t>
      </w:r>
      <w:r>
        <w:rPr/>
        <w:t>30-15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r>
        <w:rPr>
          <w:rtl w:val="true"/>
        </w:rPr>
        <w:t xml:space="preserve">ראה 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42106-01-22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וחידי </w:t>
      </w:r>
      <w:r>
        <w:rPr>
          <w:rtl w:val="true"/>
        </w:rPr>
        <w:t>(</w:t>
      </w:r>
      <w:r>
        <w:rPr>
          <w:rtl w:val="true"/>
        </w:rPr>
        <w:t xml:space="preserve">גזר דיני מיום </w:t>
      </w:r>
      <w:r>
        <w:rPr/>
        <w:t>13.2.23</w:t>
      </w:r>
      <w:r>
        <w:rPr>
          <w:rtl w:val="true"/>
        </w:rPr>
        <w:t xml:space="preserve"> </w:t>
      </w:r>
      <w:r>
        <w:rPr>
          <w:rtl w:val="true"/>
        </w:rPr>
        <w:t>וההפניות שם</w:t>
      </w:r>
      <w:r>
        <w:rPr>
          <w:rtl w:val="true"/>
        </w:rPr>
        <w:t xml:space="preserve">)).  </w:t>
      </w:r>
      <w:r>
        <w:rPr>
          <w:rtl w:val="true"/>
        </w:rPr>
        <w:t xml:space="preserve">מתחם ענישה על </w:t>
      </w:r>
      <w:r>
        <w:rPr>
          <w:b/>
          <w:b/>
          <w:bCs/>
          <w:rtl w:val="true"/>
        </w:rPr>
        <w:t>עסקה אחרת בתחמושת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 </w:t>
      </w:r>
      <w:r>
        <w:rPr>
          <w:rtl w:val="true"/>
        </w:rPr>
        <w:t>סביב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שיכול</w:t>
      </w:r>
      <w:r>
        <w:rPr>
          <w:rtl w:val="true"/>
        </w:rPr>
        <w:t xml:space="preserve"> </w:t>
      </w:r>
      <w:r>
        <w:rPr>
          <w:rtl w:val="true"/>
        </w:rPr>
        <w:t>ירוצו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ראה 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45095-04-16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 אל קאדר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(</w:t>
      </w:r>
      <w:r>
        <w:rPr/>
        <w:t>28.12.17</w:t>
      </w:r>
      <w:r>
        <w:rPr>
          <w:rtl w:val="true"/>
        </w:rPr>
        <w:t xml:space="preserve"> </w:t>
      </w:r>
      <w:r>
        <w:rPr>
          <w:rtl w:val="true"/>
        </w:rPr>
        <w:t>וההפניות שם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u w:val="single"/>
        </w:rPr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לאחר שבחנתי את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מידת הפגיעה בערכים המוגנים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אני קובעת </w:t>
      </w:r>
      <w:r>
        <w:rPr>
          <w:b/>
          <w:b/>
          <w:bCs/>
          <w:rtl w:val="true"/>
        </w:rPr>
        <w:t xml:space="preserve">מתחם ענישה כולל לשני הנאשמים הנע בין </w:t>
      </w:r>
      <w:r>
        <w:rPr>
          <w:b/>
          <w:bCs/>
        </w:rPr>
        <w:t>30-60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. </w:t>
      </w:r>
      <w:r>
        <w:rPr>
          <w:rtl w:val="true"/>
        </w:rPr>
        <w:t>טרם הסתבכותו בתיק סייע בפרנסת משפחתו ועזר רבות לאמו החולה</w:t>
      </w:r>
      <w:r>
        <w:rPr>
          <w:rtl w:val="true"/>
        </w:rPr>
        <w:t xml:space="preserve">. </w:t>
      </w:r>
      <w:r>
        <w:rPr>
          <w:rtl w:val="true"/>
        </w:rPr>
        <w:t>נראה שהנאשם אינו בעל דפוסים עברייניים או אוחז בעמדות אידיאולוגיות קיצוניות אלא מעורב בחברה שולית ונגרר אחרי חבריו</w:t>
      </w:r>
      <w:r>
        <w:rPr>
          <w:rtl w:val="true"/>
        </w:rPr>
        <w:t xml:space="preserve">, </w:t>
      </w:r>
      <w:r>
        <w:rPr>
          <w:rtl w:val="true"/>
        </w:rPr>
        <w:t>הנאשם מצמצם מחומרת מעשיו ומגלה תובנה חלקית למשמעותם</w:t>
      </w:r>
      <w:r>
        <w:rPr>
          <w:rtl w:val="true"/>
        </w:rPr>
        <w:t xml:space="preserve">, </w:t>
      </w:r>
      <w:r>
        <w:rPr>
          <w:rtl w:val="true"/>
        </w:rPr>
        <w:t>על כן הסיכון לביצוע עבירות נוספות בעתיד שריר וקיים</w:t>
      </w:r>
      <w:r>
        <w:rPr>
          <w:rtl w:val="true"/>
        </w:rPr>
        <w:t xml:space="preserve">. </w:t>
      </w:r>
      <w:r>
        <w:rPr>
          <w:rtl w:val="true"/>
        </w:rPr>
        <w:t>מן העבר השני</w:t>
      </w:r>
      <w:r>
        <w:rPr>
          <w:rtl w:val="true"/>
        </w:rPr>
        <w:t xml:space="preserve">, </w:t>
      </w:r>
      <w:r>
        <w:rPr>
          <w:rtl w:val="true"/>
        </w:rPr>
        <w:t>הנאשם צעיר מאד</w:t>
      </w:r>
      <w:r>
        <w:rPr>
          <w:rtl w:val="true"/>
        </w:rPr>
        <w:t xml:space="preserve">, </w:t>
      </w:r>
      <w:r>
        <w:rPr>
          <w:rtl w:val="true"/>
        </w:rPr>
        <w:t xml:space="preserve">עצור לראשונה בחייו מזה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 בתנאים קשים וסווג כעצור בטחוני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. </w:t>
      </w:r>
      <w:r>
        <w:rPr>
          <w:rtl w:val="true"/>
        </w:rPr>
        <w:t>גדל במשפחה קשת יום בנסיבות חיים מורכבות</w:t>
      </w:r>
      <w:r>
        <w:rPr>
          <w:rtl w:val="true"/>
        </w:rPr>
        <w:t xml:space="preserve">. </w:t>
      </w:r>
      <w:r>
        <w:rPr>
          <w:rtl w:val="true"/>
        </w:rPr>
        <w:t xml:space="preserve">החל מגיל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נהג לצרוך סמים </w:t>
      </w:r>
      <w:r>
        <w:rPr>
          <w:rtl w:val="true"/>
        </w:rPr>
        <w:t>(</w:t>
      </w:r>
      <w:r>
        <w:rPr>
          <w:rtl w:val="true"/>
        </w:rPr>
        <w:t>קנאביס</w:t>
      </w:r>
      <w:r>
        <w:rPr>
          <w:rtl w:val="true"/>
        </w:rPr>
        <w:t xml:space="preserve">) </w:t>
      </w:r>
      <w:r>
        <w:rPr>
          <w:rtl w:val="true"/>
        </w:rPr>
        <w:t>ואלכוהול כדי להתמודד עם חוויות טראומטיות שחווה</w:t>
      </w:r>
      <w:r>
        <w:rPr>
          <w:rtl w:val="true"/>
        </w:rPr>
        <w:t xml:space="preserve">. </w:t>
      </w:r>
      <w:r>
        <w:rPr>
          <w:rtl w:val="true"/>
        </w:rPr>
        <w:t>להערכת שירות מבחן נוכח תנאי גדילתו הקשים סיגל לעצמו דפוסי התנהגות אלימים ומחזיק בעמדות בעייתיות בתחום האלימות והנשק</w:t>
      </w:r>
      <w:r>
        <w:rPr>
          <w:rtl w:val="true"/>
        </w:rPr>
        <w:t xml:space="preserve">. </w:t>
      </w:r>
      <w:r>
        <w:rPr>
          <w:rtl w:val="true"/>
        </w:rPr>
        <w:t xml:space="preserve">העבירות אשר יוחסו לנאשם בוצעו כולן במהלך שנת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התרשמתי כי הוא מעורה היטב בעולם הנשק הבלתי חוקי ובעל קשרים עם גורמים שוליים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 xml:space="preserve">מביצוע העבירות המתוארות בכתב האישום ועד למעצרו בספטמבר </w:t>
      </w:r>
      <w:r>
        <w:rPr/>
        <w:t>2022</w:t>
      </w:r>
      <w:r>
        <w:rPr>
          <w:rtl w:val="true"/>
        </w:rPr>
        <w:t xml:space="preserve"> </w:t>
      </w:r>
      <w:r>
        <w:rPr>
          <w:rtl w:val="true"/>
        </w:rPr>
        <w:t>לא הסתבך בעבירות נוספות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תסקיריהם של הנאשמים אינם חיוביים ולא באו בהמלצה טיפולית</w:t>
      </w:r>
      <w:r>
        <w:rPr>
          <w:rtl w:val="true"/>
        </w:rPr>
        <w:t xml:space="preserve">. </w:t>
      </w:r>
      <w:r>
        <w:rPr>
          <w:rtl w:val="true"/>
        </w:rPr>
        <w:t>אף אם כטענת ההגנה הנאשמים נוטלים אחריות מלאה על מעשיהם</w:t>
      </w:r>
      <w:r>
        <w:rPr>
          <w:rtl w:val="true"/>
        </w:rPr>
        <w:t xml:space="preserve">, </w:t>
      </w:r>
      <w:r>
        <w:rPr>
          <w:rtl w:val="true"/>
        </w:rPr>
        <w:t>אלו לא גילו כל מוטיבציה טיפולית או נכונות לשנות את דרכי התנהלותם</w:t>
      </w:r>
      <w:r>
        <w:rPr>
          <w:rtl w:val="true"/>
        </w:rPr>
        <w:t xml:space="preserve">. </w:t>
      </w:r>
      <w:r>
        <w:rPr>
          <w:rtl w:val="true"/>
        </w:rPr>
        <w:t>שני הנאשמים עצורים לראשונה בחייהם למעלה משנה כעצורים ביטחוניים</w:t>
      </w:r>
      <w:r>
        <w:rPr>
          <w:rtl w:val="true"/>
        </w:rPr>
        <w:t xml:space="preserve">, </w:t>
      </w:r>
      <w:r>
        <w:rPr>
          <w:rtl w:val="true"/>
        </w:rPr>
        <w:t xml:space="preserve">תנאי מעצרם נוקשים משל עצורים </w:t>
      </w:r>
      <w:r>
        <w:rPr>
          <w:rtl w:val="true"/>
        </w:rPr>
        <w:t>'</w:t>
      </w:r>
      <w:r>
        <w:rPr>
          <w:rtl w:val="true"/>
        </w:rPr>
        <w:t>רגילים</w:t>
      </w:r>
      <w:r>
        <w:rPr>
          <w:rtl w:val="true"/>
        </w:rPr>
        <w:t xml:space="preserve">', </w:t>
      </w:r>
      <w:r>
        <w:rPr>
          <w:rtl w:val="true"/>
        </w:rPr>
        <w:t>ואף הוחמרו בתקופה האחרונה</w:t>
      </w:r>
      <w:r>
        <w:rPr>
          <w:rtl w:val="true"/>
        </w:rPr>
        <w:t xml:space="preserve">.  </w:t>
      </w:r>
      <w:r>
        <w:rPr>
          <w:rtl w:val="true"/>
        </w:rPr>
        <w:t>על יסוד כל אלו</w:t>
      </w:r>
      <w:r>
        <w:rPr>
          <w:rtl w:val="true"/>
        </w:rPr>
        <w:t xml:space="preserve">, </w:t>
      </w:r>
      <w:r>
        <w:rPr>
          <w:rtl w:val="true"/>
        </w:rPr>
        <w:t>מצאתי למקמם בתחתית המתחם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 על הנאשמים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/>
      </w:pP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החל מיום מעצרם </w:t>
      </w:r>
      <w:r>
        <w:rPr>
          <w:rtl w:val="true"/>
        </w:rPr>
        <w:t>(</w:t>
      </w:r>
      <w:r>
        <w:rPr>
          <w:rtl w:val="true"/>
        </w:rPr>
        <w:t xml:space="preserve">לנאשם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28.2.22</w:t>
      </w:r>
      <w:r>
        <w:rPr>
          <w:rtl w:val="true"/>
        </w:rPr>
        <w:t xml:space="preserve">, </w:t>
      </w:r>
      <w:r>
        <w:rPr>
          <w:rtl w:val="true"/>
        </w:rPr>
        <w:t xml:space="preserve">לנאשם </w:t>
      </w:r>
      <w:r>
        <w:rPr/>
        <w:t>6</w:t>
      </w:r>
      <w:r>
        <w:rPr>
          <w:rtl w:val="true"/>
        </w:rPr>
        <w:t xml:space="preserve">- </w:t>
      </w:r>
      <w:r>
        <w:rPr/>
        <w:t>7.9.22</w:t>
      </w:r>
      <w:r>
        <w:rPr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לבל יעברו הנאשמים עבירות נשק או אלימות מסוג פשע במשך שנתיים  מיום שחרורם ממאסר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לבל יעברו עבירת אלימות מסוג עוון או עבירת התפרעות או כל עבירה כלפי שוטרים או עו</w:t>
      </w:r>
      <w:r>
        <w:rPr>
          <w:rtl w:val="true"/>
        </w:rPr>
        <w:t>"</w:t>
      </w:r>
      <w:r>
        <w:rPr>
          <w:rtl w:val="true"/>
        </w:rPr>
        <w:t>צ במשך שנתיים מיום שחרורם ממאסר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בחמישה תשלומים שווים ורצופים החל מיום </w:t>
      </w:r>
      <w:r>
        <w:rPr/>
        <w:t>1.3.24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b/>
          <w:bCs/>
          <w:spacing w:val="0"/>
          <w:sz w:val="24"/>
          <w:szCs w:val="24"/>
        </w:rPr>
      </w:pP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צו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כללי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למוצגים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53339-09-22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עאזם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  <w:lang w:bidi="he-I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" w:hAnsi="Arial TUR" w:cs="FrankRuehl"/>
      <w:spacing w:val="10"/>
      <w:szCs w:val="28"/>
    </w:rPr>
  </w:style>
  <w:style w:type="character" w:styleId="ListParagraphChar">
    <w:name w:val="List Paragraph Char"/>
    <w:qFormat/>
    <w:rPr>
      <w:rFonts w:ascii="David" w:hAnsi="David" w:eastAsia="David" w:cs="David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275a" TargetMode="External"/><Relationship Id="rId8" Type="http://schemas.openxmlformats.org/officeDocument/2006/relationships/hyperlink" Target="http://www.nevo.co.il/law/70301/275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52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case/6130237" TargetMode="External"/><Relationship Id="rId15" Type="http://schemas.openxmlformats.org/officeDocument/2006/relationships/hyperlink" Target="http://www.nevo.co.il/case/28296934" TargetMode="External"/><Relationship Id="rId16" Type="http://schemas.openxmlformats.org/officeDocument/2006/relationships/hyperlink" Target="http://www.nevo.co.il/case/24263086" TargetMode="External"/><Relationship Id="rId17" Type="http://schemas.openxmlformats.org/officeDocument/2006/relationships/hyperlink" Target="http://www.nevo.co.il/case/26058630" TargetMode="External"/><Relationship Id="rId18" Type="http://schemas.openxmlformats.org/officeDocument/2006/relationships/hyperlink" Target="http://www.nevo.co.il/case/27894608" TargetMode="External"/><Relationship Id="rId19" Type="http://schemas.openxmlformats.org/officeDocument/2006/relationships/hyperlink" Target="http://www.nevo.co.il/case/27911638" TargetMode="External"/><Relationship Id="rId20" Type="http://schemas.openxmlformats.org/officeDocument/2006/relationships/hyperlink" Target="http://www.nevo.co.il/case/28152132" TargetMode="External"/><Relationship Id="rId21" Type="http://schemas.openxmlformats.org/officeDocument/2006/relationships/hyperlink" Target="http://www.nevo.co.il/case/28452933" TargetMode="External"/><Relationship Id="rId22" Type="http://schemas.openxmlformats.org/officeDocument/2006/relationships/hyperlink" Target="http://www.nevo.co.il/case/27305799" TargetMode="External"/><Relationship Id="rId23" Type="http://schemas.openxmlformats.org/officeDocument/2006/relationships/hyperlink" Target="http://www.nevo.co.il/case/5568354" TargetMode="External"/><Relationship Id="rId24" Type="http://schemas.openxmlformats.org/officeDocument/2006/relationships/hyperlink" Target="http://www.nevo.co.il/case/5727190" TargetMode="External"/><Relationship Id="rId25" Type="http://schemas.openxmlformats.org/officeDocument/2006/relationships/hyperlink" Target="http://www.nevo.co.il/case/6169945" TargetMode="External"/><Relationship Id="rId26" Type="http://schemas.openxmlformats.org/officeDocument/2006/relationships/hyperlink" Target="http://www.nevo.co.il/case/5823680" TargetMode="External"/><Relationship Id="rId27" Type="http://schemas.openxmlformats.org/officeDocument/2006/relationships/hyperlink" Target="http://www.nevo.co.il/case/28266103" TargetMode="External"/><Relationship Id="rId28" Type="http://schemas.openxmlformats.org/officeDocument/2006/relationships/hyperlink" Target="http://www.nevo.co.il/case/21474812" TargetMode="External"/><Relationship Id="rId29" Type="http://schemas.openxmlformats.org/officeDocument/2006/relationships/hyperlink" Target="http://www.nevo.co.il/case/24323398" TargetMode="External"/><Relationship Id="rId30" Type="http://schemas.openxmlformats.org/officeDocument/2006/relationships/hyperlink" Target="http://www.nevo.co.il/case/28533264" TargetMode="External"/><Relationship Id="rId31" Type="http://schemas.openxmlformats.org/officeDocument/2006/relationships/hyperlink" Target="http://www.nevo.co.il/case/28533308" TargetMode="External"/><Relationship Id="rId32" Type="http://schemas.openxmlformats.org/officeDocument/2006/relationships/hyperlink" Target="http://www.nevo.co.il/case/27628977" TargetMode="External"/><Relationship Id="rId33" Type="http://schemas.openxmlformats.org/officeDocument/2006/relationships/hyperlink" Target="http://www.nevo.co.il/case/27858776" TargetMode="External"/><Relationship Id="rId34" Type="http://schemas.openxmlformats.org/officeDocument/2006/relationships/hyperlink" Target="http://www.nevo.co.il/case/27056468" TargetMode="External"/><Relationship Id="rId35" Type="http://schemas.openxmlformats.org/officeDocument/2006/relationships/hyperlink" Target="http://www.nevo.co.il/case/28257427" TargetMode="External"/><Relationship Id="rId36" Type="http://schemas.openxmlformats.org/officeDocument/2006/relationships/hyperlink" Target="http://www.nevo.co.il/case/21321073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2024-08-26T14:11:00Z</dcterms:created>
  <dc:creator> </dc:creator>
  <dc:description/>
  <cp:keywords/>
  <dc:language>en-IL</dc:language>
  <cp:lastModifiedBy>h1</cp:lastModifiedBy>
  <dcterms:modified xsi:type="dcterms:W3CDTF">2024-08-26T14:11:00Z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עאזם;יזן חאג' יחיא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6130237;28296934;24263086;26058630;27894608;27911638;28152132;28452933;27305799;5568354;5727190;6169945;5823680;28266103;21474812;24323398;28533264;28533308;27628977;27858776;27056468;28257427;21321073</vt:lpwstr>
  </property>
  <property fmtid="{D5CDD505-2E9C-101B-9397-08002B2CF9AE}" pid="9" name="CITY">
    <vt:lpwstr>מרכז</vt:lpwstr>
  </property>
  <property fmtid="{D5CDD505-2E9C-101B-9397-08002B2CF9AE}" pid="10" name="DATE">
    <vt:lpwstr>20231130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70301/275a;152;144.b;144.a;144.b2</vt:lpwstr>
  </property>
  <property fmtid="{D5CDD505-2E9C-101B-9397-08002B2CF9AE}" pid="15" name="LAWYER">
    <vt:lpwstr>יעל תרם;עלא תלאווי;יוסף מסארוה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53339</vt:lpwstr>
  </property>
  <property fmtid="{D5CDD505-2E9C-101B-9397-08002B2CF9AE}" pid="22" name="NEWPARTB">
    <vt:lpwstr>09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390020231130</vt:lpwstr>
  </property>
  <property fmtid="{D5CDD505-2E9C-101B-9397-08002B2CF9AE}" pid="34" name="TYPE_N_DATE">
    <vt:lpwstr>39020231130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