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53377-09-22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עגלוני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485"/>
        <w:gridCol w:w="241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5485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אמיר קסנטיני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5485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1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ברין עגלוני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לאה צמל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2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בהא אלדין אבו תאיה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ראנם מזאל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הנאשמים הורשעו על פי הודאתם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בעבירות שיוחסו להם בכתב האישום שתוקן במסגרת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הסדר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סחר בנשק ובאביזר נשק לפי </w:t>
      </w:r>
      <w:hyperlink r:id="rId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>")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 של החזקת נשק ותחמושת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אביזר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cs="FrankRuehl" w:ascii="FrankRuehl" w:hAnsi="FrankRuehl"/>
          <w:sz w:val="28"/>
          <w:szCs w:val="28"/>
          <w:rtl w:val="true"/>
        </w:rPr>
        <w:t xml:space="preserve">+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בעבירה של עסקה אחרת בנשק לפי </w:t>
      </w:r>
      <w:hyperlink r:id="rId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6635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9" w:name="ABSTRACT_END"/>
      <w:bookmarkEnd w:id="9"/>
      <w:r>
        <w:rPr>
          <w:rFonts w:cs="FrankRuehl" w:ascii="FrankRuehl" w:hAnsi="FrankRuehl"/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המתואר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 מרץ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רכש אימן אבו תאיה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אימן</w:t>
      </w:r>
      <w:r>
        <w:rPr>
          <w:rFonts w:cs="FrankRuehl" w:ascii="FrankRuehl" w:hAnsi="FrankRuehl"/>
          <w:sz w:val="28"/>
          <w:szCs w:val="28"/>
          <w:rtl w:val="true"/>
        </w:rPr>
        <w:t xml:space="preserve">") 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בן דודו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ושל אשתו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אקדח חצי אוטומטי מסוג </w:t>
      </w:r>
      <w:r>
        <w:rPr>
          <w:rFonts w:cs="FrankRuehl" w:ascii="FrankRuehl" w:hAnsi="FrankRuehl"/>
        </w:rPr>
        <w:t>FN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תוצרת בלגיה מודל </w:t>
      </w:r>
      <w:r>
        <w:rPr>
          <w:rFonts w:cs="FrankRuehl" w:ascii="FrankRuehl" w:hAnsi="FrankRuehl"/>
        </w:rPr>
        <w:t>HP</w:t>
      </w:r>
      <w:r>
        <w:rPr>
          <w:rFonts w:cs="FrankRuehl" w:ascii="FrankRuehl" w:hAnsi="FrankRuehl"/>
          <w:sz w:val="28"/>
          <w:szCs w:val="28"/>
        </w:rPr>
        <w:t>-35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פאראבלום ושתי מחסניות ריקות תואמות בתמורה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חודש מאי של אותה שנה תיווך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אימן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אמיר סידאווי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אמיר</w:t>
      </w:r>
      <w:r>
        <w:rPr>
          <w:rFonts w:cs="FrankRuehl" w:ascii="FrankRuehl" w:hAnsi="FrankRuehl"/>
          <w:sz w:val="28"/>
          <w:szCs w:val="28"/>
          <w:rtl w:val="true"/>
        </w:rPr>
        <w:t>")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במכירת האקדח ושתי המחסניות בתמורה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קיבל מאימן דמי תיווך בסך של </w:t>
      </w:r>
      <w:r>
        <w:rPr>
          <w:rFonts w:cs="FrankRuehl" w:ascii="FrankRuehl" w:hAnsi="FrankRuehl"/>
          <w:sz w:val="28"/>
          <w:szCs w:val="28"/>
        </w:rPr>
        <w:t>1,500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14.08.22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שימשו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האקדח והמחסניות את אמיר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בניסיונו לגרום למותם של שבעה בני שלא כדין ממניע דתי לאומני ואידיאולוגי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מניסיון זה נגרמה חבלה חמורה לחמישה בני אדם ופציעה לשניים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בטיעוניו לעונש עמד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האינטרסים המוגנים שנפגעו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כך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נשק הפכו למכת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ומייצרות סיכונים לשלום הציבור ובטחונו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ביצוע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טרור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ביצוע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פליליות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 כך נקבע בפסיקה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להחמיר בענישה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לשם הרתעת הרבים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את טובת ההנאה בסך של </w:t>
      </w:r>
      <w:r>
        <w:rPr>
          <w:rFonts w:cs="FrankRuehl" w:ascii="FrankRuehl" w:hAnsi="FrankRuehl"/>
          <w:sz w:val="28"/>
          <w:szCs w:val="28"/>
        </w:rPr>
        <w:t>20,000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את טובת ההנאה בסך של </w:t>
      </w:r>
      <w:r>
        <w:rPr>
          <w:rFonts w:cs="FrankRuehl" w:ascii="FrankRuehl" w:hAnsi="FrankRuehl"/>
          <w:sz w:val="28"/>
          <w:szCs w:val="28"/>
        </w:rPr>
        <w:t>1,500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שצמחה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מהתיווך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התוצאות החמורות של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הובילה את האקדח לידיים טרוריסטיות אשר עשו בו שימוש לפיגוע טרור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הפנה למספר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 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שניתנו עובר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ולאחריו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ובהם נקבע מתחם ענישה בעבירה של החזקה וסחר בנשק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 בין שנתיים לחמש 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למתחם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 עבירת הסחר ולמת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חם שנע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בגין עבירת ההחזקה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לקבוע מתחם עונש הולם למעשיו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</w:t>
      </w:r>
      <w:r>
        <w:rPr>
          <w:rFonts w:cs="FrankRuehl" w:ascii="FrankRuehl" w:hAnsi="FrankRuehl"/>
          <w:sz w:val="28"/>
          <w:szCs w:val="28"/>
        </w:rPr>
        <w:t>55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80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למעשי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למתחם עונש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כי יש לתת משקל להודאת הנאשם ולכך שהוא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ולהשית 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עונש ברף התחתון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ועונשים נילווים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לקולא את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ומאידך ציין את עברו הפלילי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העובדה שהעבירה בוצעה כשעונש מאסר מותנה תלוי ועומד כנגדו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למקם את עונשו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להשית עליו עונש של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להפעיל את עונש המאסר על תנאי שעומד כנגדו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לתקופה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מתוכם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במצטבר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שבסך הכל הוא ירצה </w:t>
      </w:r>
      <w:r>
        <w:rPr>
          <w:rFonts w:cs="FrankRuehl" w:ascii="FrankRuehl" w:hAnsi="FrankRuehl"/>
          <w:sz w:val="28"/>
          <w:szCs w:val="28"/>
        </w:rPr>
        <w:t>52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5B9BD5"/>
          <w:sz w:val="28"/>
          <w:szCs w:val="28"/>
        </w:rPr>
      </w:pPr>
      <w:r>
        <w:rPr>
          <w:rFonts w:cs="FrankRuehl" w:ascii="FrankRuehl" w:hAnsi="FrankRuehl"/>
          <w:color w:val="5B9BD5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 כי 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לו עתרה המאשימה אינו הולם 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הצביעה על כך שמדובר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באדם עם עבר נקי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 למשפחה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שאינו בריא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ושעבד כפועל ניקיון בעיריית ירושלים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ציינה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מחסניות הגיעו אליו בירושה מאביו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ומדובר למעשה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פריטים מוזיאוניים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כלל לא ניסה לעשות שימוש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גם כי הנאשם לא ידע לאיזו מטרה נדרש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ופער הזמנים ממכירת האקדח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 הפיגוע מעיד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טענה כי חלקו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אינו פחות חמור ואין מקום להחמיר בדינו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מפרנס גם את אמו החולה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יום נתבקש להסתפק בתקופת מעצרו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אף הוא כי המתחם לו עתר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אינו תואם נסיבות 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חלקו של הנאשם היה מינורי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למעשה נגרר לעסקה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שיכולה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ייתה להתבצע אף בלעדיו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ידע מה מטרת רכישת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ההולם מקרה זה 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צוין כי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 למשפחה נורמטיבית ושני הוריו חולים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ובנסיבות אלו נתבקש למקום את עונשו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ולהפעיל את עונש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 על תנאי שעומד נגדו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בחופף לעונש שיושת עליו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 את צערו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הבטיח לא לשוב עליהם וציין כי כל רצונו לגדל את ילדיו ולטפל באמו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הביע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חרטה על מעשיו ועל הבושה שגרם להוריו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כי הבין שעשה טעות ועליה הוא כבר משלם מחיר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ציין כי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בן יחיד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ארבע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מאורס ומועד חתונתו קרב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הביע את רצונו להשתחרר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להתחתן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ולפרנס את המשפחה בכבוד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להפריז בחומרתן ובהשלכותיהן הקשות של 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בעבירות שנועדו להגן על הערכים הבסיסיים והחשובים ביותר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 הגוף וחיי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סכנה אינהרנטית נשקפת מהחזקה ונשיאה של כלי נשק על ידי מי שאינם מורשים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טחון המדינה והן לשלום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חמורות עוד יותר העבירות הקשורות בסחר בנשק שעניינן במעבר נשק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 ליד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כשבסופו של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מוצא הנשק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דרכו לידיים עברייניות שעושות בו שימוש פלילי ובטחוני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כבמקרה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5B9BD5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 המשפט נדרשו פעמים 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לענישה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קבעו באופן עקבי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עבירות נשק לסוגיהן הן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המשקפ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 סכנה חמורה ומיידית לביטחון הציבור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ולשלומו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הצורך בענישה מחמירה בעבירות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22.08.21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עמאר בעראני 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 החמרת הענישה בגין עבירות אלו היא אינטרס ציבורי מהמעלה הראשונה ותנאי הכרחי להרתעת הציבור מפני ביצוען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ולמאבק בתופעות הפשיעה האלימה לסוגיה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2880/23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עיסא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25.04.23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פקיה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בשל כל האמור גם נקבע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 במסגרת שיקולי הענישה בעבירות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יש לתת משקל רב לאינטרס הציבורי ולשיקולי ההרתעה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ולהעדיפם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על פני נסיבותיו של הנאשם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לאחרונה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אף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 אנו מצויים במצב חירום של ממש 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 הנוגע 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עבירות נשק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אף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הוסיף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13.02.22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680" w:end="680"/>
        <w:jc w:val="both"/>
        <w:rPr>
          <w:rFonts w:ascii="Miriam" w:hAnsi="Miriam" w:eastAsia="FrankRuehl" w:cs="Miriam"/>
          <w:sz w:val="28"/>
        </w:rPr>
      </w:pPr>
      <w:r>
        <w:rPr>
          <w:rFonts w:ascii="Miriam" w:hAnsi="Miriam" w:eastAsia="FrankRuehl" w:cs="Miriam"/>
          <w:sz w:val="28"/>
          <w:sz w:val="28"/>
          <w:rtl w:val="true"/>
        </w:rPr>
        <w:t>לעיתים נכון להחמיר בענישה בגין סוגים מסוימים של עבירות בשל אופיין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עד כי יש לסווגן כ</w:t>
      </w:r>
      <w:r>
        <w:rPr>
          <w:rFonts w:eastAsia="FrankRuehl" w:cs="Miriam" w:ascii="Miriam" w:hAnsi="Miriam"/>
          <w:sz w:val="28"/>
          <w:rtl w:val="true"/>
        </w:rPr>
        <w:t>"</w:t>
      </w:r>
      <w:r>
        <w:rPr>
          <w:rFonts w:ascii="Miriam" w:hAnsi="Miriam" w:eastAsia="FrankRuehl" w:cs="Miriam"/>
          <w:sz w:val="28"/>
          <w:sz w:val="28"/>
          <w:rtl w:val="true"/>
        </w:rPr>
        <w:t>מכת מדינה</w:t>
      </w:r>
      <w:r>
        <w:rPr>
          <w:rFonts w:eastAsia="FrankRuehl" w:cs="Miriam" w:ascii="Miriam" w:hAnsi="Miriam"/>
          <w:sz w:val="28"/>
          <w:rtl w:val="true"/>
        </w:rPr>
        <w:t xml:space="preserve">". </w:t>
      </w:r>
      <w:r>
        <w:rPr>
          <w:rFonts w:ascii="Miriam" w:hAnsi="Miriam" w:eastAsia="FrankRuehl" w:cs="Miriam"/>
          <w:sz w:val="28"/>
          <w:sz w:val="28"/>
          <w:rtl w:val="true"/>
        </w:rPr>
        <w:t>בענייננו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עבירות הנשק דורשות החמרה בשל שני הנימוקים גם יחד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ממד החומרה שבהן נעוץ בזיקתן לכלי בעל כוח קטלני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ובראי התקופה – הפגיעה באינטרס הציבורי ובבטחון הפרט דורשת ענישה מחמירה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מעבר לזו שהייתה נקוטה בעבר</w:t>
      </w:r>
      <w:r>
        <w:rPr>
          <w:rFonts w:eastAsia="FrankRuehl" w:cs="Miriam" w:ascii="Miriam" w:hAnsi="Miriam"/>
          <w:sz w:val="28"/>
          <w:rtl w:val="true"/>
        </w:rPr>
        <w:t>.</w:t>
      </w:r>
    </w:p>
    <w:p>
      <w:pPr>
        <w:pStyle w:val="Normal"/>
        <w:spacing w:lineRule="auto" w:line="360"/>
        <w:ind w:end="680"/>
        <w:jc w:val="both"/>
        <w:rPr>
          <w:rFonts w:ascii="Miriam" w:hAnsi="Miriam" w:eastAsia="FrankRuehl" w:cs="Miriam"/>
          <w:sz w:val="28"/>
        </w:rPr>
      </w:pPr>
      <w:r>
        <w:rPr>
          <w:rFonts w:eastAsia="FrankRuehl" w:cs="Miriam" w:ascii="Miriam" w:hAnsi="Miria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אחר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זיאד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24.10.21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צוין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680" w:end="680"/>
        <w:jc w:val="both"/>
        <w:rPr>
          <w:rFonts w:ascii="Miriam" w:hAnsi="Miriam" w:eastAsia="FrankRuehl" w:cs="Miriam"/>
          <w:sz w:val="28"/>
        </w:rPr>
      </w:pPr>
      <w:r>
        <w:rPr>
          <w:rFonts w:ascii="Miriam" w:hAnsi="Miriam" w:eastAsia="FrankRuehl" w:cs="Miriam"/>
          <w:sz w:val="28"/>
          <w:sz w:val="28"/>
          <w:rtl w:val="true"/>
        </w:rPr>
        <w:t>רעה חולה זו פוקדת את מדינתנו מזה זמן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והיא מזינה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דבר יום ביומו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את פעולות הטרור ואת עורקי הפשיעה החמורה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המסכנים את הציבור הישראלי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סכנת נפשות ממש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בכוח ובפועל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הקלות שאפיינה את מעשי הסחר במקרה דנן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וההתעלמות של השניים מפוטנציאל הנזק האדיר של מעשיהם החמורים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למען בצע כסף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אכן ראויים לגינוי רועם וענישה מחמירה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לא זו אף זו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גל האלימות הגואה בתוככי המגזר הערבי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מצריך אף הוא מאיתנו להיענות לצו השעה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ולנקוט יד קשה כלפי מבצעי עבירות בנשק</w:t>
      </w:r>
      <w:r>
        <w:rPr>
          <w:rFonts w:eastAsia="FrankRuehl" w:cs="Miriam" w:ascii="Miriam" w:hAnsi="Miriam"/>
          <w:sz w:val="28"/>
          <w:rtl w:val="true"/>
        </w:rPr>
        <w:t xml:space="preserve">; </w:t>
      </w:r>
      <w:r>
        <w:rPr>
          <w:rFonts w:ascii="Miriam" w:hAnsi="Miriam" w:eastAsia="FrankRuehl" w:cs="Miriam"/>
          <w:sz w:val="28"/>
          <w:sz w:val="28"/>
          <w:rtl w:val="true"/>
        </w:rPr>
        <w:t>לבטח כך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כאשר בעבירות של סחר בנשק עסקינן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כבעניין דנן</w:t>
      </w:r>
      <w:r>
        <w:rPr>
          <w:rFonts w:eastAsia="FrankRuehl" w:cs="Miriam" w:ascii="Miriam" w:hAnsi="Miriam"/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color w:val="000000"/>
          <w:sz w:val="28"/>
          <w:szCs w:val="28"/>
        </w:rPr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אף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המחוקק  בחר לעגן את הצורך בהחמרת הענישה בחקיקה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במסגרת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בדרך של קביעת עונש מינימום של רבע מהעונש המרבי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למי שהורשע בעבירות של החזקה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נשיאה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 דברי ההסבר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התיקון לחוק נעשה נוכח התפשטות ההתחמשות של קבוצות גדולות באוכלוסייה בנשק בלתי חוקי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בתי המשפט הביאו לידי ביטוי את מגמת ההחמרה אליה כיוון המחוקק במסגרת תיקון זה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במקרים לגביהם לא חל התיקון בשל כך שהעבירות בוצעו עובר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משמדובר על מקרה שהתיקון לחוק חל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הדבר דורש החמרה נוספת מהענישה שנהגה באותם מקרים עליהם לא חל התיקון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בחינת מדיניות הענישה הנוהגת מעלה מנעד רחב של עונשים בעבירות נשק שונות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נגזרים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מנסיבות 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בכלל זה סוג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היקף העסקאות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הצדדים לעסקה ועוד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ולצד זאת הנסיבות האישיות השונות של העבריין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 גזר הדין ב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7196-03-21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אגנימאת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      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סקרתי חלק מהפסיקה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כדלהלן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6383/21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25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 לנאשמים שהורשעו במעשה אחד של הובלה ונשיאה של נשק – אקדח הזנקה מוסב ועונש של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 לנאשם נוסף שהורשע בעבירה אחת של 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על מי שסייע לו בעסקה זו הושת עונש של </w:t>
      </w:r>
      <w:r>
        <w:rPr>
          <w:rFonts w:cs="FrankRuehl" w:ascii="FrankRuehl" w:hAnsi="FrankRuehl"/>
          <w:color w:val="000000"/>
          <w:sz w:val="28"/>
          <w:szCs w:val="28"/>
        </w:rPr>
        <w:t>28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58524-11-19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עודה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2.12.20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נקבע מתחם שנ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 בין </w:t>
      </w:r>
      <w:r>
        <w:rPr>
          <w:rFonts w:cs="FrankRuehl" w:ascii="FrankRuehl" w:hAnsi="FrankRuehl"/>
          <w:sz w:val="28"/>
          <w:szCs w:val="28"/>
        </w:rPr>
        <w:t>20-40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 עבירת סחר בודד באקדח שנמכר לסוכן 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ב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3793/20</w:t>
        </w:r>
      </w:hyperlink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23.11.20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אסר בגין הרשעה בעבירה אחת של ניסיון לעסקה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500/21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31.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</w:rPr>
        <w:t>5.21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בגין שתי עבירות של סחר בנשק לסוכן משטרתי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35608-04-18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יזן קורד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</w:rPr>
        <w:t>2.19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הוטלו על נאשם </w:t>
      </w:r>
      <w:r>
        <w:rPr>
          <w:rFonts w:cs="FrankRuehl" w:ascii="FrankRuehl" w:hAnsi="FrankRuehl"/>
          <w:color w:val="000000"/>
          <w:sz w:val="28"/>
          <w:szCs w:val="28"/>
        </w:rPr>
        <w:t>34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בגין עסקה לרכישת אקדח ועסקה לרכישת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באותו עניין נקבע כי המתחם עבור שתי העבירות נע משנתיים ועד שש שנות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2834/18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15.01.19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אושר עונש של שבע שנות מאסר שהושת על מי שהורשע בשלוש עבירות של 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בעבירה של נשיאת נשק וסחר בסמים מול סוכן משטרתי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1944/20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אמארה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2.09.20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 בגין עבירות של סחר בנשק שלא כדין ועבירות החזקה ונשיאה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28.07.22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נדון נאשם שהורשע בשתי עבירות של סחר בנשק ובשתי עבירות של החזקת נשק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נאשם נוסף שהורשע בשתי עבירות של סחר בנשק ובשתי עבירות של החזקה 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נאשם שהורשע בעבירה אחת של סחר בנשק ובעבירה אחת של החזקה 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ונאשם שהורשע בעבירה אחת של סיוע לסחר ועבירה נוספת של החזקה 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בית המשפט דחה את הערעורים של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לבד מהפחתת עונשו של הנאשם שנדון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באופן שימי מעצרו יקוזזו ממאסרו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וקיבל את ערעור המדינה תוך החמרת העונשים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46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בהתאמה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ציין כי מאסר בפועל לתקופה של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בגין עבירות הקשורות לנשק התקפי מצוי ברף הנמוך של הענישה הראויה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וראו גם בת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szCs w:val="28"/>
        </w:rPr>
        <w:t>13177-04-21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אלעתאיקה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והפסיקה שפורטה 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לשים לב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כלל פסקי הדין הנזכרים ניתנו לנאשמים שביצעו עבירות עובר לתחולת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ועל אף שכאמור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בתי המשפט ציינו כי גם מקום בו תחולת התיקון אינה בתוקף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לפעול בהתאם למגמת ההחמרה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מכל מקום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משעה שהתיקון חל בעניינם של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לתת ביטוי נוסף להחמרה זו של המחוקק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הנה כי 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החשש שהובע פעמים אין ספור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בפסקי הדין השונים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כך שכלי הנשק בהם מבוצע סחר בלתי חוקי עלולים לשמש באירועים פליליים או ביטחוניים חמורים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התגשם בשימוש שבוצע בנשק שנמכר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מספר חודשים לאחר שנרכש על ידי המפגע סידאווי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לצורך פיגוע ירי בו נגרמה חבלה חמורה לחמישה בני אדם ופציעה לשניים נוספים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הנאשמים טענו כי לא ידעו לאיזו מטרה נרכש האקדח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וברי כי אין ממש בטענה זו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שכן תכליתו של כלי זה ידועה לכל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מכאן יש לקבוע את מתחם העונש ההולם ביחס לכל אחד מהנאשמים ואת עונשו בתוך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הוא אשר ממנו החל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מסעו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 האקדח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ששימש כעבור מספר חודשים לביצוע פיגוע ירי ופציעת שבעה יהודים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כשאך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בנס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תוצאות הירי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היו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קשות יותר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המחיר שקיבל 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עבור האקדח והמחסניות מלמד על חלקו המשמעותי בעסקה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למכלול הנסיבות ולפסיקה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לעונש הקבוע לצד עבירת הסחר והוראת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 עונשו של המורשע בעבירה מעין זו לא יפחת מרבע העונש הקבוע לצדה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סבור כי מתחם העונש ההולם 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66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המעשה של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חמור מעט פחות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שכן הוא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תיווך בעסקה וקיבל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דמי תיווך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גם הוא היה חלק בשרשרת שהובילה את האקדח לידיו של סידואויי שניסה לרצוח באמצעותו יהודים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סידאויי כאמור בכתב האישום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ידע היטב למי הוא פונה בתורו אחר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 אכזב ודאג לו לנשק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כבר נפסק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נדרשת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ענישה מחמירה לכל חוליה בשרשרת של עבירת הסחר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 זה גם מי שתיווך בעסקה ותרם תרומה מכרעת לביצועה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בראנסי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16.08.18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וכך גם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לשון </w:t>
      </w:r>
      <w:hyperlink r:id="rId3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לחוק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שהנאשם הודה כי עבר על שנאסר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למכלול הנסיבות ולפסיקה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לעונש הקבוע לצד עבירת הסחר והוראת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 עונשו של המורשע בעבירה מעין זו לא יפחת מרבע העונש הקבוע לצדה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סבור כי מתחם העונש ההולם 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60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באשר לעונשו של 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בתוך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זקוף לזכותו את הודאתו והבעת החרטה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ואת העובדה כי מדובר בעבירה ראשונה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ולקבוע את עונשו בתחתית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באשר לעונשו של 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הוא הודה במיוחס לו והביע חרטה על מעשיו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אך בניגוד לנאשם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לנאשם זה עבר פלילי בעבירות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ואף עונש המאסר המותנה שהיה תלוי ועומד כנגדו לא הרתיע אותו מלשוב על מעשיו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קשה לקבל את בקשתו להקל בעונשו תוך התחשבות בבני משפחתו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שעה שהוא עצמו לא חש לכך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מה גם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שכאמור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לנסיבותיו האישיות של מי שמורשע בעבירות נשק יש לתת משקל מועט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את עונשו של 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אפוא לגזור בחלק התחתון של המתחם אך לא בתחתיתו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לא נשמע כל טעם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ואין כל הצדקה לחפוף את עונש המאסר על תנאי שיש להפעיל לעונש שהושת עליו בהליך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ואך בשל כך שהמאשימה הסכימה לחפיפה של שני 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 אסטה מכך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בסופו של 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אפוא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משית על הנאשמים את העונשים הבאים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b/>
          <w:bCs/>
          <w:color w:val="000000"/>
          <w:sz w:val="28"/>
          <w:szCs w:val="28"/>
          <w:u w:val="single"/>
        </w:rPr>
        <w:t>1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b/>
          <w:bCs/>
          <w:color w:val="000000"/>
          <w:sz w:val="28"/>
          <w:szCs w:val="28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בפועל אשר יימנו מיום מעצרו </w:t>
      </w:r>
      <w:r>
        <w:rPr>
          <w:rFonts w:cs="FrankRuehl" w:ascii="FrankRuehl" w:hAnsi="FrankRuehl"/>
          <w:color w:val="000000"/>
          <w:sz w:val="28"/>
          <w:szCs w:val="28"/>
        </w:rPr>
        <w:t>19.09.22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תחתיו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הקנס ישולם עד ליום </w:t>
      </w:r>
      <w:r>
        <w:rPr>
          <w:rFonts w:cs="FrankRuehl" w:ascii="FrankRuehl" w:hAnsi="FrankRuehl"/>
          <w:sz w:val="28"/>
          <w:szCs w:val="28"/>
        </w:rPr>
        <w:t>1.01.24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FrankRuehl" w:hAnsi="FrankRuehl" w:cs="FrankRuehl"/>
          <w:b/>
          <w:bCs/>
          <w:color w:val="000000"/>
          <w:sz w:val="28"/>
          <w:szCs w:val="28"/>
        </w:rPr>
      </w:pP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b/>
          <w:bCs/>
          <w:color w:val="000000"/>
          <w:sz w:val="28"/>
          <w:szCs w:val="28"/>
          <w:u w:val="single"/>
        </w:rPr>
        <w:t>2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-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בפועל אשר יימנו מיום מעצרו </w:t>
      </w:r>
      <w:r>
        <w:rPr>
          <w:rFonts w:cs="FrankRuehl" w:ascii="FrankRuehl" w:hAnsi="FrankRuehl"/>
          <w:color w:val="000000"/>
          <w:sz w:val="28"/>
          <w:szCs w:val="28"/>
        </w:rPr>
        <w:t>30.08.22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אני מפעיל את עונש המאסר על תנאי למשך </w:t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שהוטל 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14593-04-20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color w:val="000000"/>
          <w:sz w:val="28"/>
          <w:szCs w:val="28"/>
        </w:rPr>
        <w:t>9.08.20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הנאשם יירצה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חודשים מתוך עונש זה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במצטבר לעונש המאסר שהושת עליו 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הליך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לעיל סעיף 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וחודשיים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בחופף לעונש שהושת עליו בהליך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לאמור הוא ירצה </w:t>
      </w: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 אשר יימנו מיום מעצרו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קנס בסך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1,500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ימי מאסר תחתם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הקנס ישולם עד ליום </w:t>
      </w:r>
      <w:r>
        <w:rPr>
          <w:rFonts w:cs="FrankRuehl" w:ascii="FrankRuehl" w:hAnsi="FrankRuehl"/>
          <w:color w:val="000000"/>
          <w:sz w:val="28"/>
          <w:szCs w:val="28"/>
        </w:rPr>
        <w:t>1.01.24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אלול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06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z w:val="28"/>
          <w:szCs w:val="28"/>
        </w:rPr>
        <w:t>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53377-09-22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ברין עגלוני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0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lang w:val="en-US"/>
    </w:rPr>
  </w:style>
  <w:style w:type="character" w:styleId="WW8Num3z0">
    <w:name w:val="WW8Num3z0"/>
    <w:qFormat/>
    <w:rPr>
      <w:rFonts w:ascii="Symbol" w:hAnsi="Symbol" w:eastAsia="Times New Roman" w:cs="FrankRuehl"/>
      <w:lang w:bidi="he-I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case/27567095" TargetMode="External"/><Relationship Id="rId10" Type="http://schemas.openxmlformats.org/officeDocument/2006/relationships/hyperlink" Target="http://www.nevo.co.il/case/27708542" TargetMode="External"/><Relationship Id="rId11" Type="http://schemas.openxmlformats.org/officeDocument/2006/relationships/hyperlink" Target="http://www.nevo.co.il/case/27665277" TargetMode="External"/><Relationship Id="rId12" Type="http://schemas.openxmlformats.org/officeDocument/2006/relationships/hyperlink" Target="http://www.nevo.co.il/case/29564821" TargetMode="External"/><Relationship Id="rId13" Type="http://schemas.openxmlformats.org/officeDocument/2006/relationships/hyperlink" Target="http://www.nevo.co.il/case/27915710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27567095" TargetMode="External"/><Relationship Id="rId16" Type="http://schemas.openxmlformats.org/officeDocument/2006/relationships/hyperlink" Target="http://www.nevo.co.il/case/27513376" TargetMode="External"/><Relationship Id="rId17" Type="http://schemas.openxmlformats.org/officeDocument/2006/relationships/hyperlink" Target="http://www.nevo.co.il/case/27513376" TargetMode="External"/><Relationship Id="rId18" Type="http://schemas.openxmlformats.org/officeDocument/2006/relationships/hyperlink" Target="http://www.nevo.co.il/case/27925239" TargetMode="External"/><Relationship Id="rId19" Type="http://schemas.openxmlformats.org/officeDocument/2006/relationships/hyperlink" Target="http://www.nevo.co.il/case/2663016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445046" TargetMode="External"/><Relationship Id="rId22" Type="http://schemas.openxmlformats.org/officeDocument/2006/relationships/hyperlink" Target="http://www.nevo.co.il/case/27925239" TargetMode="External"/><Relationship Id="rId23" Type="http://schemas.openxmlformats.org/officeDocument/2006/relationships/hyperlink" Target="http://www.nevo.co.il/case/26216601" TargetMode="External"/><Relationship Id="rId24" Type="http://schemas.openxmlformats.org/officeDocument/2006/relationships/hyperlink" Target="http://www.nevo.co.il/case/26747892" TargetMode="External"/><Relationship Id="rId25" Type="http://schemas.openxmlformats.org/officeDocument/2006/relationships/hyperlink" Target="http://www.nevo.co.il/case/27347604" TargetMode="External"/><Relationship Id="rId26" Type="http://schemas.openxmlformats.org/officeDocument/2006/relationships/hyperlink" Target="http://www.nevo.co.il/case/23877165" TargetMode="External"/><Relationship Id="rId27" Type="http://schemas.openxmlformats.org/officeDocument/2006/relationships/hyperlink" Target="http://www.nevo.co.il/case/23850993" TargetMode="External"/><Relationship Id="rId28" Type="http://schemas.openxmlformats.org/officeDocument/2006/relationships/hyperlink" Target="http://www.nevo.co.il/case/26538254" TargetMode="External"/><Relationship Id="rId29" Type="http://schemas.openxmlformats.org/officeDocument/2006/relationships/hyperlink" Target="http://www.nevo.co.il/case/2869722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3750625" TargetMode="External"/><Relationship Id="rId32" Type="http://schemas.openxmlformats.org/officeDocument/2006/relationships/hyperlink" Target="http://www.nevo.co.il/case/26747892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case/26599030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2024-08-26T14:11:00Z</dcterms:created>
  <dc:creator> </dc:creator>
  <dc:description/>
  <cp:keywords/>
  <dc:language>en-IL</dc:language>
  <cp:lastModifiedBy>h1</cp:lastModifiedBy>
  <dcterms:modified xsi:type="dcterms:W3CDTF">2024-08-26T14:11:00Z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ג'ברין עגלוני;בהא אלדין אבו תאיה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27567095:2;27708542;27665277;29564821;27915710;25824863;27513376:2;27925239:2;26630169;27445046;26216601;26747892:2;27347604;23877165;23850993;26538254;28697227;23750625;26599030</vt:lpwstr>
  </property>
  <property fmtid="{D5CDD505-2E9C-101B-9397-08002B2CF9AE}" pid="9" name="CITY">
    <vt:lpwstr>י-ם</vt:lpwstr>
  </property>
  <property fmtid="{D5CDD505-2E9C-101B-9397-08002B2CF9AE}" pid="10" name="DATE">
    <vt:lpwstr>20230906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70301/144.b2:3;144.a</vt:lpwstr>
  </property>
  <property fmtid="{D5CDD505-2E9C-101B-9397-08002B2CF9AE}" pid="15" name="LAWYER">
    <vt:lpwstr>לאה צמל;אמיר קסנטיני;ראנם מזאל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53377</vt:lpwstr>
  </property>
  <property fmtid="{D5CDD505-2E9C-101B-9397-08002B2CF9AE}" pid="22" name="NEWPARTB">
    <vt:lpwstr>09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390020230906</vt:lpwstr>
  </property>
  <property fmtid="{D5CDD505-2E9C-101B-9397-08002B2CF9AE}" pid="34" name="TYPE_N_DATE">
    <vt:lpwstr>39020230906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