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88"/>
        <w:gridCol w:w="4424"/>
        <w:gridCol w:w="10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בטבריה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W w:w="418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 דורון 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  <w:tc>
          <w:tcPr>
            <w:tcW w:w="4424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tl w:val="true"/>
              </w:rPr>
              <w:t xml:space="preserve"> </w:t>
            </w:r>
            <w:r>
              <w:rPr/>
              <w:t>53489-02-13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 ישראל 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יזבק ואח</w:t>
            </w:r>
            <w:r>
              <w:rPr>
                <w:rtl w:val="true"/>
              </w:rPr>
              <w:t>'</w:t>
            </w:r>
          </w:p>
        </w:tc>
        <w:tc>
          <w:tcPr>
            <w:tcW w:w="10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>
          <w:trHeight w:val="360" w:hRule="atLeast"/>
        </w:trPr>
        <w:tc>
          <w:tcPr>
            <w:tcW w:w="4188" w:type="dxa"/>
            <w:tcBorders/>
          </w:tcPr>
          <w:p>
            <w:pPr>
              <w:pStyle w:val="Normal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4424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פברואר </w:t>
            </w:r>
            <w:r>
              <w:rPr>
                <w:b/>
                <w:bCs/>
              </w:rPr>
              <w:t>2014</w:t>
            </w:r>
          </w:p>
        </w:tc>
        <w:tc>
          <w:tcPr>
            <w:tcW w:w="10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5"/>
        <w:gridCol w:w="700"/>
        <w:gridCol w:w="361"/>
        <w:gridCol w:w="3643"/>
        <w:gridCol w:w="81"/>
      </w:tblGrid>
      <w:tr>
        <w:trPr>
          <w:trHeight w:val="337" w:hRule="atLeast"/>
        </w:trPr>
        <w:tc>
          <w:tcPr>
            <w:tcW w:w="3935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06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4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463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2" w:name="FirstAppellant"/>
            <w:bookmarkEnd w:id="2"/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085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מאשימה</w:t>
            </w:r>
          </w:p>
        </w:tc>
      </w:tr>
      <w:tr>
        <w:trPr/>
        <w:tc>
          <w:tcPr>
            <w:tcW w:w="8720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35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נסים יזבק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מועאד זועבי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נדון </w:t>
            </w:r>
          </w:p>
        </w:tc>
        <w:tc>
          <w:tcPr>
            <w:tcW w:w="4085" w:type="dxa"/>
            <w:gridSpan w:val="3"/>
            <w:tcBorders/>
          </w:tcPr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#2#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 xml:space="preserve">מתמחה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סיוון כהן פרקליטות מחוז צפון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</w:t>
      </w: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עוז דקל ממשרדו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צפרירי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#3#</w:t>
      </w:r>
      <w:r>
        <w:rPr>
          <w:sz w:val="6"/>
          <w:szCs w:val="6"/>
          <w:u w:val="none"/>
          <w:rtl w:val="true"/>
        </w:rPr>
        <w:t>&gt;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6"/>
          <w:szCs w:val="6"/>
          <w:u w:val="none"/>
        </w:rPr>
      </w:pPr>
      <w:r>
        <w:rPr>
          <w:rFonts w:cs="FrankRuehl" w:ascii="FrankRuehl" w:hAnsi="FrankRuehl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31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 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על פי הודאתו בעבירות אשר יוחסו לו בכתב אישום המתוקן</w:t>
      </w:r>
      <w:r>
        <w:rPr>
          <w:rtl w:val="true"/>
        </w:rPr>
        <w:t xml:space="preserve">. </w:t>
      </w:r>
      <w:r>
        <w:rPr>
          <w:rtl w:val="true"/>
        </w:rPr>
        <w:t xml:space="preserve">עבירות של </w:t>
      </w:r>
      <w:r>
        <w:rPr>
          <w:b/>
          <w:b/>
          <w:bCs/>
          <w:rtl w:val="true"/>
        </w:rPr>
        <w:t>סיוע לעבירות בנשק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- </w:t>
      </w:r>
      <w:r>
        <w:rPr>
          <w:rtl w:val="true"/>
        </w:rPr>
        <w:t>נשק</w:t>
      </w:r>
      <w:r>
        <w:rPr>
          <w:rtl w:val="true"/>
        </w:rPr>
        <w:t xml:space="preserve">) , </w:t>
      </w:r>
      <w:r>
        <w:rPr>
          <w:rtl w:val="true"/>
        </w:rPr>
        <w:t xml:space="preserve">עבירה לפי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 xml:space="preserve">כי ביום </w:t>
      </w:r>
      <w:r>
        <w:rPr/>
        <w:t>12.2.13</w:t>
      </w:r>
      <w:r>
        <w:rPr>
          <w:rtl w:val="true"/>
        </w:rPr>
        <w:t xml:space="preserve"> </w:t>
      </w:r>
      <w:r>
        <w:rPr>
          <w:rtl w:val="true"/>
        </w:rPr>
        <w:t xml:space="preserve">החזיק </w:t>
      </w:r>
      <w:r>
        <w:rPr>
          <w:rtl w:val="true"/>
        </w:rPr>
        <w:t xml:space="preserve">, </w:t>
      </w:r>
      <w:r>
        <w:rPr>
          <w:rtl w:val="true"/>
        </w:rPr>
        <w:t>עבור אחר</w:t>
      </w:r>
      <w:r>
        <w:rPr>
          <w:rtl w:val="true"/>
        </w:rPr>
        <w:t xml:space="preserve">, </w:t>
      </w:r>
      <w:r>
        <w:rPr>
          <w:rtl w:val="true"/>
        </w:rPr>
        <w:t>ברובה מסוג רוג</w:t>
      </w:r>
      <w:r>
        <w:rPr>
          <w:rtl w:val="true"/>
        </w:rPr>
        <w:t>'</w:t>
      </w:r>
      <w:r>
        <w:rPr>
          <w:rtl w:val="true"/>
        </w:rPr>
        <w:t>ר ומחסנית</w:t>
      </w:r>
      <w:r>
        <w:rPr>
          <w:rtl w:val="true"/>
        </w:rPr>
        <w:t xml:space="preserve">. </w:t>
      </w:r>
      <w:r>
        <w:rPr>
          <w:rtl w:val="true"/>
        </w:rPr>
        <w:t>במעשיו אלה</w:t>
      </w:r>
      <w:r>
        <w:rPr>
          <w:rtl w:val="true"/>
        </w:rPr>
        <w:t xml:space="preserve">, </w:t>
      </w:r>
      <w:r>
        <w:rPr>
          <w:rtl w:val="true"/>
        </w:rPr>
        <w:t>סייע הנאשם להחזקת נשק שבכוחו להמית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הסדר טיעון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ביניהם לידי הסדר טיעון</w:t>
      </w:r>
      <w:r>
        <w:rPr>
          <w:rtl w:val="true"/>
        </w:rPr>
        <w:t xml:space="preserve">, </w:t>
      </w:r>
      <w:r>
        <w:rPr>
          <w:rtl w:val="true"/>
        </w:rPr>
        <w:t>אשר במסגרתו הנאשם הודה והורשע</w:t>
      </w:r>
      <w:r>
        <w:rPr>
          <w:rtl w:val="true"/>
        </w:rPr>
        <w:t xml:space="preserve">. </w:t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התביעה עתרה להטלת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בעבודות שירות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שנתיים 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 לעונש מטעם 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 עתרה לכבד את הסדר הטיעון וביקשה שהמאסר המותנה יחול על כל עבירת 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 טענה</w:t>
      </w:r>
      <w:r>
        <w:rPr>
          <w:rtl w:val="true"/>
        </w:rPr>
        <w:t xml:space="preserve">, </w:t>
      </w:r>
      <w:r>
        <w:rPr>
          <w:rtl w:val="true"/>
        </w:rPr>
        <w:t>כי הסדר הטיעון אינו כולל הסכמה לניכוי ימי המעצר של 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ביקש להורות על ניכוי ימי המעצר מימי המאסר</w:t>
      </w:r>
      <w:r>
        <w:rPr>
          <w:rtl w:val="true"/>
        </w:rPr>
        <w:t xml:space="preserve">, </w:t>
      </w:r>
      <w:r>
        <w:rPr>
          <w:rtl w:val="true"/>
        </w:rPr>
        <w:t>הגם שמדובר במאסר שירוצה בעבודות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ביקש להתחשב בנסיבותיו האישיות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ביקש להתחשב בהודאת הנאשם וטען</w:t>
      </w:r>
      <w:r>
        <w:rPr>
          <w:rtl w:val="true"/>
        </w:rPr>
        <w:t xml:space="preserve">, </w:t>
      </w:r>
      <w:r>
        <w:rPr>
          <w:rtl w:val="true"/>
        </w:rPr>
        <w:t>כי הצדדים הגיעו לידי הסדר טיעון בשל  בעיות ראייתיות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ביקש להתחשב בכך שהנאשם שהה במשך תקופה ארוכה באיזוק אלקטרוני ובתנאים מגבילים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דיון 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על פי הודאתו בעבירה של סיוע לעבירות 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 המשפט הדגישו לא אחת</w:t>
      </w:r>
      <w:r>
        <w:rPr>
          <w:rtl w:val="true"/>
        </w:rPr>
        <w:t xml:space="preserve">, </w:t>
      </w:r>
      <w:r>
        <w:rPr>
          <w:rtl w:val="true"/>
        </w:rPr>
        <w:t>כי בכל עבירה הקשורה בנשק</w:t>
      </w:r>
      <w:r>
        <w:rPr>
          <w:rtl w:val="true"/>
        </w:rPr>
        <w:t xml:space="preserve">, </w:t>
      </w:r>
      <w:r>
        <w:rPr>
          <w:rtl w:val="true"/>
        </w:rPr>
        <w:t>יש להחמיר עם נאשמים וזאת כדי להגן על החברה</w:t>
      </w:r>
      <w:r>
        <w:rPr>
          <w:rtl w:val="true"/>
        </w:rPr>
        <w:t xml:space="preserve">. </w:t>
      </w:r>
      <w:r>
        <w:rPr>
          <w:rtl w:val="true"/>
        </w:rPr>
        <w:t>נשק המוחזק שלא כחוק</w:t>
      </w:r>
      <w:r>
        <w:rPr>
          <w:rtl w:val="true"/>
        </w:rPr>
        <w:t xml:space="preserve">, </w:t>
      </w:r>
      <w:r>
        <w:rPr>
          <w:rtl w:val="true"/>
        </w:rPr>
        <w:t>עלול הוא לשמש גורמים עבריינים לביצוע מעשי פשע קשים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ביניהם לידי הסדר טיעון</w:t>
      </w:r>
      <w:r>
        <w:rPr>
          <w:rtl w:val="true"/>
        </w:rPr>
        <w:t xml:space="preserve">. </w:t>
      </w:r>
      <w:r>
        <w:rPr>
          <w:rtl w:val="true"/>
        </w:rPr>
        <w:t>אלמלא הסדר הטיעון הייתי מטיל על הנאשם עונשים חמורים יותר</w:t>
      </w:r>
      <w:r>
        <w:rPr>
          <w:rtl w:val="true"/>
        </w:rPr>
        <w:t xml:space="preserve">. </w:t>
      </w:r>
      <w:r>
        <w:rPr>
          <w:rtl w:val="true"/>
        </w:rPr>
        <w:t>התביעה הגיעה להסדר טיעון הכולל ענישה מקלה תוך שהיא קובעת את כל הפרמטרים ברכיבי הענישה</w:t>
      </w:r>
      <w:r>
        <w:rPr>
          <w:rtl w:val="true"/>
        </w:rPr>
        <w:t xml:space="preserve">. </w:t>
      </w:r>
      <w:r>
        <w:rPr>
          <w:rtl w:val="true"/>
        </w:rPr>
        <w:t>חזקה על התביעה ששקלה את כל השיקולים הקשורים באינטרס הציבורי</w:t>
      </w:r>
      <w:r>
        <w:rPr>
          <w:rtl w:val="true"/>
        </w:rPr>
        <w:t xml:space="preserve">. </w:t>
      </w:r>
      <w:r>
        <w:rPr>
          <w:rtl w:val="true"/>
        </w:rPr>
        <w:t>הסדרי טיעון נרקמים בין הצדדים ולא אחת רב הנסתר על הגלוי בהם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בתי המשפט נמנעים מהתערבות בהסדרי 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עתר לניכוי ימי מעצרו של הנאשם מימי המאסר</w:t>
      </w:r>
      <w:r>
        <w:rPr>
          <w:rtl w:val="true"/>
        </w:rPr>
        <w:t xml:space="preserve">, </w:t>
      </w:r>
      <w:r>
        <w:rPr>
          <w:rtl w:val="true"/>
        </w:rPr>
        <w:t>אותם ירצה הנאשם בעבודות שירות</w:t>
      </w:r>
      <w:r>
        <w:rPr>
          <w:rtl w:val="true"/>
        </w:rPr>
        <w:t xml:space="preserve">. </w:t>
      </w:r>
      <w:r>
        <w:rPr>
          <w:rtl w:val="true"/>
        </w:rPr>
        <w:t>לא מצאתי לקבל את טענתו זו של הסנגור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 הטיעון כפי שנוסח על ידי הצדדים הוא ברור ואין כל התחייבות לניכוי ימי מעצר מימי המאסר שירוצו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בתי המשפט אינם נוהגים לנכות ימי מעצר מהתקופה המוטלת לריצוי בעבודות שירות</w:t>
      </w:r>
      <w:r>
        <w:rPr>
          <w:rtl w:val="true"/>
        </w:rPr>
        <w:t xml:space="preserve">. </w:t>
      </w:r>
      <w:r>
        <w:rPr>
          <w:rtl w:val="true"/>
        </w:rPr>
        <w:t>הסדר הטיעון הוא כחומר בידי הצדדים</w:t>
      </w:r>
      <w:r>
        <w:rPr>
          <w:rtl w:val="true"/>
        </w:rPr>
        <w:t xml:space="preserve">, </w:t>
      </w:r>
      <w:r>
        <w:rPr>
          <w:rtl w:val="true"/>
        </w:rPr>
        <w:t>הם המעצבים את דמותו</w:t>
      </w:r>
      <w:r>
        <w:rPr>
          <w:rtl w:val="true"/>
        </w:rPr>
        <w:t xml:space="preserve">. </w:t>
      </w:r>
      <w:r>
        <w:rPr>
          <w:rtl w:val="true"/>
        </w:rPr>
        <w:t>אילו רצו בכך יכלו לציין ענין זה במפורש בהסדר או לערוך את התחשיבים הנדרשים קודם להצגת ההסדר ולטיעונים 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נתתי דעתי לנסיבותיו האישיות של הנאשם ולגילו הצעיר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נתתי דעתי להודאת הנאשם ולזמן השיפוטי שחסך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נתתי דעתי לכך שכתב האישום תוקן באופן מהותי</w:t>
      </w:r>
      <w:r>
        <w:rPr>
          <w:rtl w:val="true"/>
        </w:rPr>
        <w:t xml:space="preserve">, </w:t>
      </w:r>
      <w:r>
        <w:rPr>
          <w:rtl w:val="true"/>
        </w:rPr>
        <w:t>וכן לדברים שאמר אביו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לאחר ששמעתי את 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כ המאשימה ואת טיעוני הנאשם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, </w:t>
      </w:r>
      <w:r>
        <w:rPr>
          <w:b/>
          <w:b/>
          <w:bCs/>
          <w:u w:val="single"/>
          <w:rtl w:val="true"/>
        </w:rPr>
        <w:t>ובהתחשב בנסיבות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אני גוזר על הנאשם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 העונשים הבאים</w:t>
      </w:r>
      <w:r>
        <w:rPr>
          <w:b/>
          <w:bCs/>
          <w:u w:val="single"/>
          <w:rtl w:val="true"/>
        </w:rPr>
        <w:t>:</w:t>
      </w:r>
    </w:p>
    <w:p>
      <w:pPr>
        <w:pStyle w:val="BodyText2"/>
        <w:ind w:hanging="720" w:start="720" w:end="0"/>
        <w:jc w:val="both"/>
        <w:rPr>
          <w:color w:val="000000"/>
          <w:szCs w:val="24"/>
        </w:rPr>
      </w:pPr>
      <w:r>
        <w:rPr>
          <w:szCs w:val="24"/>
          <w:rtl w:val="true"/>
        </w:rPr>
        <w:t>א</w:t>
      </w:r>
      <w:r>
        <w:rPr>
          <w:szCs w:val="24"/>
          <w:rtl w:val="true"/>
        </w:rPr>
        <w:t xml:space="preserve">.         </w:t>
      </w:r>
      <w:r>
        <w:rPr>
          <w:szCs w:val="24"/>
          <w:rtl w:val="true"/>
        </w:rPr>
        <w:t xml:space="preserve">אני מטיל על הנאשם מאסר לתקופה של </w:t>
      </w:r>
      <w:r>
        <w:rPr>
          <w:szCs w:val="24"/>
        </w:rPr>
        <w:t>12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מהם  </w:t>
      </w:r>
      <w:r>
        <w:rPr>
          <w:b/>
          <w:bCs/>
          <w:szCs w:val="24"/>
        </w:rPr>
        <w:t>6</w:t>
      </w:r>
      <w:r>
        <w:rPr>
          <w:b/>
          <w:bCs/>
          <w:szCs w:val="24"/>
          <w:rtl w:val="true"/>
        </w:rPr>
        <w:t xml:space="preserve"> </w:t>
      </w:r>
      <w:r>
        <w:rPr>
          <w:szCs w:val="24"/>
          <w:rtl w:val="true"/>
        </w:rPr>
        <w:t>חודשים בפועל והיתרה על תנאי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למשך שנתיים החל מהיום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והתנאי שלא יעבור ויורשע על </w:t>
      </w:r>
      <w:r>
        <w:rPr>
          <w:color w:val="000000"/>
          <w:szCs w:val="24"/>
          <w:rtl w:val="true"/>
        </w:rPr>
        <w:t>כל עבירה הקשורה בנשק</w:t>
      </w:r>
      <w:r>
        <w:rPr>
          <w:color w:val="000000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color w:val="000000"/>
          <w:szCs w:val="24"/>
        </w:rPr>
      </w:pPr>
      <w:r>
        <w:rPr>
          <w:color w:val="000000"/>
          <w:szCs w:val="24"/>
          <w:rtl w:val="true"/>
        </w:rPr>
      </w:r>
    </w:p>
    <w:p>
      <w:pPr>
        <w:pStyle w:val="BodyText"/>
        <w:spacing w:lineRule="auto" w:line="360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 xml:space="preserve">.          </w:t>
      </w:r>
      <w:r>
        <w:rPr>
          <w:rtl w:val="true"/>
        </w:rPr>
        <w:t xml:space="preserve">אני דן את הנאשם לתשלום קנס בסך </w:t>
      </w:r>
      <w:r>
        <w:rPr/>
        <w:t>2,000</w:t>
      </w:r>
      <w:r>
        <w:rPr>
          <w:rtl w:val="true"/>
        </w:rPr>
        <w:t xml:space="preserve"> ₪, </w:t>
      </w:r>
      <w:r>
        <w:rPr>
          <w:rtl w:val="true"/>
        </w:rPr>
        <w:t xml:space="preserve">או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שיישא הנאשם בנוסף לכל מאסר אחר שהוטל עליו</w:t>
      </w:r>
      <w:r>
        <w:rPr>
          <w:rtl w:val="true"/>
        </w:rPr>
        <w:t>.</w:t>
      </w:r>
    </w:p>
    <w:p>
      <w:pPr>
        <w:pStyle w:val="BodyTextIndent"/>
        <w:ind w:end="0"/>
        <w:jc w:val="both"/>
        <w:rPr>
          <w:b w:val="false"/>
          <w:bCs w:val="false"/>
          <w:szCs w:val="24"/>
        </w:rPr>
      </w:pPr>
      <w:r>
        <w:rPr>
          <w:b w:val="false"/>
          <w:b w:val="false"/>
          <w:bCs w:val="false"/>
          <w:szCs w:val="24"/>
          <w:rtl w:val="true"/>
        </w:rPr>
        <w:t xml:space="preserve">הקנס ישולם ב – </w:t>
      </w:r>
      <w:r>
        <w:rPr>
          <w:b w:val="false"/>
          <w:bCs w:val="false"/>
          <w:szCs w:val="24"/>
        </w:rPr>
        <w:t>5</w:t>
      </w:r>
      <w:r>
        <w:rPr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שיעורים חודשיים שווים ורצופים</w:t>
      </w:r>
      <w:r>
        <w:rPr>
          <w:b w:val="false"/>
          <w:bCs w:val="false"/>
          <w:szCs w:val="24"/>
          <w:rtl w:val="true"/>
        </w:rPr>
        <w:t xml:space="preserve">, </w:t>
      </w:r>
      <w:r>
        <w:rPr>
          <w:b w:val="false"/>
          <w:b w:val="false"/>
          <w:bCs w:val="false"/>
          <w:szCs w:val="24"/>
          <w:rtl w:val="true"/>
        </w:rPr>
        <w:t xml:space="preserve">תשלום ראשון תוך </w:t>
      </w:r>
      <w:r>
        <w:rPr>
          <w:b w:val="false"/>
          <w:bCs w:val="false"/>
          <w:szCs w:val="24"/>
        </w:rPr>
        <w:t>30</w:t>
      </w:r>
      <w:r>
        <w:rPr>
          <w:b w:val="false"/>
          <w:bCs w:val="false"/>
          <w:szCs w:val="24"/>
          <w:rtl w:val="true"/>
        </w:rPr>
        <w:t xml:space="preserve"> </w:t>
      </w:r>
      <w:r>
        <w:rPr>
          <w:b w:val="false"/>
          <w:b w:val="false"/>
          <w:bCs w:val="false"/>
          <w:szCs w:val="24"/>
          <w:rtl w:val="true"/>
        </w:rPr>
        <w:t>יום מהיום</w:t>
      </w:r>
      <w:r>
        <w:rPr>
          <w:b w:val="false"/>
          <w:bCs w:val="false"/>
          <w:szCs w:val="24"/>
          <w:rtl w:val="true"/>
        </w:rPr>
        <w:t xml:space="preserve">. </w:t>
      </w:r>
      <w:r>
        <w:rPr>
          <w:b w:val="false"/>
          <w:b w:val="false"/>
          <w:bCs w:val="false"/>
          <w:szCs w:val="24"/>
          <w:rtl w:val="true"/>
        </w:rPr>
        <w:t>אי תשלום אחד מהשיעורים</w:t>
      </w:r>
      <w:r>
        <w:rPr>
          <w:b w:val="false"/>
          <w:bCs w:val="false"/>
          <w:szCs w:val="24"/>
          <w:rtl w:val="true"/>
        </w:rPr>
        <w:t xml:space="preserve">, </w:t>
      </w:r>
      <w:r>
        <w:rPr>
          <w:b w:val="false"/>
          <w:b w:val="false"/>
          <w:bCs w:val="false"/>
          <w:szCs w:val="24"/>
          <w:rtl w:val="true"/>
        </w:rPr>
        <w:t>יעמיד את היתרה לפירעון מיידי</w:t>
      </w:r>
      <w:r>
        <w:rPr>
          <w:b w:val="false"/>
          <w:bCs w:val="false"/>
          <w:szCs w:val="24"/>
          <w:rtl w:val="true"/>
        </w:rPr>
        <w:t>.</w:t>
      </w:r>
    </w:p>
    <w:p>
      <w:pPr>
        <w:pStyle w:val="BodyTextIndent"/>
        <w:ind w:end="0"/>
        <w:jc w:val="both"/>
        <w:rPr>
          <w:b w:val="false"/>
          <w:bCs w:val="false"/>
          <w:szCs w:val="24"/>
        </w:rPr>
      </w:pPr>
      <w:r>
        <w:rPr>
          <w:b w:val="false"/>
          <w:bCs w:val="false"/>
          <w:szCs w:val="24"/>
          <w:rtl w:val="true"/>
        </w:rPr>
      </w:r>
    </w:p>
    <w:p>
      <w:pPr>
        <w:pStyle w:val="BodyText2"/>
        <w:ind w:hanging="720" w:start="720" w:end="0"/>
        <w:jc w:val="both"/>
        <w:rPr>
          <w:rFonts w:cs="Times New Roman"/>
          <w:szCs w:val="24"/>
        </w:rPr>
      </w:pPr>
      <w:r>
        <w:rPr>
          <w:szCs w:val="24"/>
          <w:rtl w:val="true"/>
        </w:rPr>
        <w:t>ג</w:t>
      </w:r>
      <w:r>
        <w:rPr>
          <w:szCs w:val="24"/>
          <w:rtl w:val="true"/>
        </w:rPr>
        <w:t xml:space="preserve">.         </w:t>
      </w:r>
      <w:r>
        <w:rPr>
          <w:szCs w:val="24"/>
          <w:rtl w:val="true"/>
        </w:rPr>
        <w:t>הנאשם ירצה את עבודות השירות בהתאם לחוות הדעת שהתקבלה</w:t>
      </w:r>
      <w:r>
        <w:rPr>
          <w:szCs w:val="24"/>
          <w:rtl w:val="true"/>
        </w:rPr>
        <w:t>.</w:t>
      </w:r>
    </w:p>
    <w:p>
      <w:pPr>
        <w:pStyle w:val="BodyText2"/>
        <w:ind w:hanging="720" w:start="720" w:end="0"/>
        <w:jc w:val="both"/>
        <w:rPr>
          <w:b/>
          <w:bCs/>
          <w:szCs w:val="24"/>
        </w:rPr>
      </w:pPr>
      <w:r>
        <w:rPr>
          <w:szCs w:val="24"/>
          <w:rtl w:val="true"/>
        </w:rPr>
        <w:t xml:space="preserve">            </w:t>
      </w:r>
      <w:r>
        <w:rPr>
          <w:szCs w:val="24"/>
          <w:rtl w:val="true"/>
        </w:rPr>
        <w:t xml:space="preserve">תחילת עבודות השירות ביום </w:t>
      </w:r>
      <w:r>
        <w:rPr>
          <w:b/>
          <w:bCs/>
          <w:szCs w:val="24"/>
        </w:rPr>
        <w:t>28.4.14</w:t>
      </w:r>
      <w:r>
        <w:rPr>
          <w:b/>
          <w:bCs/>
          <w:szCs w:val="24"/>
          <w:rtl w:val="true"/>
        </w:rPr>
        <w:t>.</w:t>
      </w:r>
    </w:p>
    <w:p>
      <w:pPr>
        <w:pStyle w:val="BodyText2"/>
        <w:spacing w:lineRule="auto" w:line="240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במידה ובתיק יש פיקדון</w:t>
      </w:r>
      <w:r>
        <w:rPr>
          <w:rtl w:val="true"/>
        </w:rPr>
        <w:t xml:space="preserve">, </w:t>
      </w:r>
      <w:r>
        <w:rPr>
          <w:rtl w:val="true"/>
        </w:rPr>
        <w:t>הפיקדון יקוזז כנגד קנס שהוטל</w:t>
      </w:r>
      <w:r>
        <w:rPr>
          <w:rtl w:val="true"/>
        </w:rPr>
        <w:t xml:space="preserve">. </w:t>
      </w:r>
      <w:r>
        <w:rPr>
          <w:rtl w:val="true"/>
        </w:rPr>
        <w:t>במידה וקיימת יתרה</w:t>
      </w:r>
      <w:r>
        <w:rPr>
          <w:rtl w:val="true"/>
        </w:rPr>
        <w:t xml:space="preserve">, </w:t>
      </w:r>
      <w:r>
        <w:rPr>
          <w:rtl w:val="true"/>
        </w:rPr>
        <w:t>היתרה תוחזר למפקיד</w:t>
      </w:r>
      <w:r>
        <w:rPr>
          <w:rtl w:val="true"/>
        </w:rPr>
        <w:t>.</w:t>
      </w:r>
    </w:p>
    <w:p>
      <w:pPr>
        <w:pStyle w:val="BodyText2"/>
        <w:spacing w:lineRule="auto" w:line="240"/>
        <w:ind w:end="0"/>
        <w:jc w:val="both"/>
        <w:rPr>
          <w:szCs w:val="24"/>
          <w:u w:val="single"/>
        </w:rPr>
      </w:pPr>
      <w:r>
        <w:rPr>
          <w:szCs w:val="24"/>
          <w:u w:val="single"/>
          <w:rtl w:val="true"/>
        </w:rPr>
      </w:r>
    </w:p>
    <w:p>
      <w:pPr>
        <w:pStyle w:val="BodyText2"/>
        <w:ind w:end="0"/>
        <w:jc w:val="both"/>
        <w:rPr>
          <w:b/>
          <w:bCs/>
          <w:szCs w:val="24"/>
          <w:u w:val="single"/>
        </w:rPr>
      </w:pPr>
      <w:r>
        <w:rPr>
          <w:b/>
          <w:b/>
          <w:bCs/>
          <w:szCs w:val="24"/>
          <w:u w:val="single"/>
          <w:rtl w:val="true"/>
        </w:rPr>
        <w:t>המזכירות תמציא העתק לממונה על עבודות שירות</w:t>
      </w:r>
      <w:r>
        <w:rPr>
          <w:b/>
          <w:bCs/>
          <w:szCs w:val="24"/>
          <w:u w:val="single"/>
          <w:rtl w:val="true"/>
        </w:rPr>
        <w:t>.</w:t>
      </w:r>
    </w:p>
    <w:p>
      <w:pPr>
        <w:pStyle w:val="BodyText2"/>
        <w:spacing w:lineRule="auto" w:line="240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 בבית משפט המחוזי בנצרת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25/02/2014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דורון פורת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,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 </w:t>
            </w:r>
            <w:r>
              <w:rPr>
                <w:rFonts w:eastAsia="Times New Roman" w:cs="Times New Roman" w:ascii="Times New Roman" w:hAnsi="Times New Roman"/>
                <w:rtl w:val="true"/>
              </w:rPr>
              <w:br/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_GoBack"/>
      <w:bookmarkStart w:id="10" w:name="_GoBack"/>
      <w:bookmarkEnd w:id="10"/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מגי</w:t>
      </w:r>
      <w:r>
        <w:rPr>
          <w:rtl w:val="true"/>
        </w:rPr>
        <w:t xml:space="preserve"> </w:t>
      </w:r>
      <w:r>
        <w:rPr>
          <w:rtl w:val="true"/>
        </w:rPr>
        <w:t>חייט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דורון פורת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טב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53489-02-13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נסים יזבק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גוף טקסט תו"/>
    <w:basedOn w:val="DefaultParagraphFont"/>
    <w:qFormat/>
    <w:rPr>
      <w:rFonts w:cs="David"/>
      <w:sz w:val="24"/>
      <w:szCs w:val="24"/>
      <w:lang w:val="en-US" w:eastAsia="en-IL" w:bidi="he-IL"/>
    </w:rPr>
  </w:style>
  <w:style w:type="character" w:styleId="Style15">
    <w:name w:val="כניסה בגוף טקסט תו"/>
    <w:basedOn w:val="DefaultParagraphFont"/>
    <w:qFormat/>
    <w:rPr>
      <w:rFonts w:cs="David"/>
      <w:b/>
      <w:bCs/>
      <w:sz w:val="24"/>
      <w:szCs w:val="28"/>
      <w:lang w:val="en-US" w:bidi="he-IL"/>
    </w:rPr>
  </w:style>
  <w:style w:type="character" w:styleId="2">
    <w:name w:val="גוף טקסט 2 תו"/>
    <w:basedOn w:val="DefaultParagraphFont"/>
    <w:qFormat/>
    <w:rPr>
      <w:rFonts w:cs="David"/>
      <w:sz w:val="24"/>
      <w:szCs w:val="28"/>
      <w:lang w:val="en-US" w:bidi="he-IL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rFonts w:ascii="Times New Roman" w:hAnsi="Times New Roman" w:eastAsia="Times New Roman" w:cs="Times New Roman"/>
      <w:lang w:val="en-IL" w:eastAsia="en-IL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snapToGrid w:val="false"/>
      <w:spacing w:lineRule="auto" w:line="360"/>
      <w:ind w:hanging="0" w:start="720" w:end="0"/>
      <w:jc w:val="both"/>
    </w:pPr>
    <w:rPr>
      <w:rFonts w:ascii="Times New Roman" w:hAnsi="Times New Roman" w:eastAsia="Times New Roman" w:cs="Times New Roman"/>
      <w:b/>
      <w:bCs/>
      <w:szCs w:val="28"/>
    </w:rPr>
  </w:style>
  <w:style w:type="paragraph" w:styleId="BodyText2">
    <w:name w:val="Body Text 2"/>
    <w:basedOn w:val="Normal"/>
    <w:qFormat/>
    <w:pPr>
      <w:snapToGrid w:val="false"/>
      <w:spacing w:lineRule="auto" w:line="360"/>
      <w:jc w:val="both"/>
    </w:pPr>
    <w:rPr>
      <w:rFonts w:ascii="Times New Roman" w:hAnsi="Times New Roman" w:eastAsia="Times New Roman" w:cs="Times New Roman"/>
      <w:szCs w:val="28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2014-08-17T07:46:00Z</dcterms:created>
  <dc:creator> </dc:creator>
  <dc:description/>
  <cp:keywords/>
  <dc:language>en-IL</dc:language>
  <cp:lastModifiedBy>hofit</cp:lastModifiedBy>
  <dcterms:modified xsi:type="dcterms:W3CDTF">2014-08-17T07:46:00Z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נסים יזבק;מועאד זועבי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טב'</vt:lpwstr>
  </property>
  <property fmtid="{D5CDD505-2E9C-101B-9397-08002B2CF9AE}" pid="9" name="DATE">
    <vt:lpwstr>20140225</vt:lpwstr>
  </property>
  <property fmtid="{D5CDD505-2E9C-101B-9397-08002B2CF9AE}" pid="10" name="DELEMATA">
    <vt:lpwstr/>
  </property>
  <property fmtid="{D5CDD505-2E9C-101B-9397-08002B2CF9AE}" pid="11" name="JUDGE">
    <vt:lpwstr>דורון פורת</vt:lpwstr>
  </property>
  <property fmtid="{D5CDD505-2E9C-101B-9397-08002B2CF9AE}" pid="12" name="LAWLISTTMP1">
    <vt:lpwstr>70301/144.a;031</vt:lpwstr>
  </property>
  <property fmtid="{D5CDD505-2E9C-101B-9397-08002B2CF9AE}" pid="13" name="LAWYER">
    <vt:lpwstr>עוז דקל;סיוון כהן 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53489</vt:lpwstr>
  </property>
  <property fmtid="{D5CDD505-2E9C-101B-9397-08002B2CF9AE}" pid="20" name="NEWPARTB">
    <vt:lpwstr>02</vt:lpwstr>
  </property>
  <property fmtid="{D5CDD505-2E9C-101B-9397-08002B2CF9AE}" pid="21" name="NEWPARTC">
    <vt:lpwstr>13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380020140225</vt:lpwstr>
  </property>
  <property fmtid="{D5CDD505-2E9C-101B-9397-08002B2CF9AE}" pid="32" name="TYPE_N_DATE">
    <vt:lpwstr>38020140225</vt:lpwstr>
  </property>
  <property fmtid="{D5CDD505-2E9C-101B-9397-08002B2CF9AE}" pid="33" name="VOLUME">
    <vt:lpwstr/>
  </property>
  <property fmtid="{D5CDD505-2E9C-101B-9397-08002B2CF9AE}" pid="34" name="WORDNUMPAGES">
    <vt:lpwstr>3</vt:lpwstr>
  </property>
</Properties>
</file>