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53585-08-10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ראבי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ליה לב און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דאוד ראבי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מהדי אבו גאבר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פאר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לגולי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1952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/>
        <w:t>1</w:t>
      </w:r>
      <w:r>
        <w:rPr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הנאשם מהדי אבו גאבר הורשע בעבירות של סיוע להחזקת נשק והסעת שב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ח לפי הסעיפים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hyperlink r:id="rId8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רישא וסיפא יחד עם </w:t>
      </w:r>
      <w:hyperlink r:id="rId9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31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1977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וכן </w:t>
      </w:r>
      <w:hyperlink r:id="rId11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הכניסה לישראל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תשי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1952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בהתאמה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על פי כתב האישום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28.8.10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בשעה </w:t>
      </w:r>
      <w:r>
        <w:rPr>
          <w:rFonts w:cs="Arial" w:ascii="Arial" w:hAnsi="Arial"/>
          <w:sz w:val="28"/>
          <w:szCs w:val="28"/>
        </w:rPr>
        <w:t>00:47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הסיע ברכבו את דאוד ראבי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ביודעין ששוהה בישראל שלא כחוק וכן את מוניר אבו גאבר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דאוד ומוניר החזיקו באותו המועד באקדח סטאר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קליבר </w:t>
      </w:r>
      <w:r>
        <w:rPr>
          <w:rFonts w:cs="Arial" w:ascii="Arial" w:hAnsi="Arial"/>
          <w:sz w:val="28"/>
          <w:szCs w:val="28"/>
        </w:rPr>
        <w:t>0.9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מ ומחסנית לאקדח שלא בהיתר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והנאשם סייע להם בהחזקתו שלא כחוק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בעניינו של דאוד ראבי אשר כפר בהחזקת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שמעתי את הראיות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הוא הורשע בשהייה שלא כחוק ובהחזקת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ונשפט למאסר לתקופה של </w:t>
      </w:r>
      <w:r>
        <w:rPr>
          <w:rFonts w:cs="Arial" w:ascii="Arial" w:hAnsi="Arial"/>
          <w:sz w:val="28"/>
          <w:szCs w:val="28"/>
        </w:rPr>
        <w:t>14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 מיום מעצרו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מאסרים על תנאי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בעניינו של מוניר הגיעה התביעה להסדר עם הנאשם ובא כוחו והוטלו עליו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לרצוי בדרך של עבודות שירות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סימני פרופרינט ברורים היו על ידיהם של מהדי ומוניר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ומהראיות עלה שהם היו השותפים לעסקת הנשק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בטיעוניה לעונש עמדה עו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הגב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חגי על חומרת העבירות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כך שהסיע ברכבה של אמו את השניים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המסוכנות הפוטנציאלית שבהחזקת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ועל אף גילו הצעיר עברו הנקי וההמלצה שבתסקיר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עתרה להטלת מאסר בפועל מאחורי סורג ובריח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מאסר על תנאי וקנס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ג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לג</w:t>
      </w:r>
      <w:r>
        <w:rPr>
          <w:rFonts w:cs="Arial" w:ascii="Arial" w:hAnsi="Arial"/>
          <w:sz w:val="28"/>
          <w:szCs w:val="28"/>
          <w:rtl w:val="true"/>
        </w:rPr>
        <w:t>'</w:t>
      </w:r>
      <w:r>
        <w:rPr>
          <w:rFonts w:ascii="Arial" w:hAnsi="Arial" w:cs="Arial"/>
          <w:sz w:val="28"/>
          <w:sz w:val="28"/>
          <w:szCs w:val="28"/>
          <w:rtl w:val="true"/>
        </w:rPr>
        <w:t>ולי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ביקש להתחשב בגילו הצעיר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בהודייתו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בכך שמדובר בעבירה לא מתוכננת שבוצעה ברכבו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אליה התוודע בעת הנסיעה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לא היה דומיננטי וביקש להעדיף את המלצת שירות המבחן על פני עמדתה העונשית של התביעה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הנאשם עצמו הביע חרטה על מעשיו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מהתסקיר עולה כי הנאשם בן למשפחה נורמטיבית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השלים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שנות לימוד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עובד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התנסה בהשפעת חברים בשימוש בסמים ושתיית אלכוהול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ובשלושת השנים האחרונות לדבריו עובד עם אביו ולא השתמש בסמים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מהתסקיר נלמד על הפנמת הפסול שבמעשים והשפעתם המרתיעה של הליכי המשפט ועל פי החשש שהעלה ממאסר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>לאחר שהייה של חודש ומחצה במעצר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ומצוקתו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באה המלצה להסתפק במאסר לרצוי בעבודות שירות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לצד הערכה שאין מקום להעמדתו במבחן משום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שאינו פנוי לבחון מניעיו וקשייו</w:t>
      </w:r>
      <w:r>
        <w:rPr>
          <w:rFonts w:cs="Arial" w:ascii="Arial" w:hAnsi="Aria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מהאמירה של שירות המבחן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אינו פנוי לבחון מניעיו וקשייו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לטעמי נצפית מסוכנות עתידית מובהקת שהרי לא רק שהסיע שב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ח וברכבו בוצעה עסקת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שמתקשה לעמוד על מניעיו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ולתת לעצמו דו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ח על הבעייתיות שבהתנהגותו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משכך – גם לא יכול היה להיעזר בגורמים טיפוליים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וכל ששידר היה חשש מפני מאסר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התלבטותי באשר לעונש הראוי היא תוצר של חומרת העבירות והזלזול בחוק ובסדר הציבורי מחד גיסא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והעבר הנקי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ההודיה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וחסכון בזמן שיפוטי מאידך גיסא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נוסף לאלו מלווה אני בתחושה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תוצר התסקיר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הנאשם שיתף פעולה באופן מילולי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אך ספק אם הפיק מההליך הפלילי את מטרותיו המוצהרות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וביניהן הרתעה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ומניעה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במכלול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חייבת אני גם להתחשב בעונשיהם של השותפים לאירוע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ובהצהרות התביעה באשר למסה הראייתית שנאספה בעניינו של כל אחד מהנאשמים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הקושי להטיל מאסר לרצוי בפועל נובע מהעונש לו הסכימה התביעה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בעניינו של מוניר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שהיה לכל הדעות שותף פעיל לעסקת הנשק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לצד זה ברכבו של הנאשם הסתייעו השניים בתוך מקום מתאים לביצוע העסקה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לפיכך ולאחר שיקול ואיזון מוצאת אני להטיל על הנאשם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אותם יירצה בדרך של עבודות שירות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בהסכמתו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בעיריית ראש העין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שברחוב שילה </w:t>
      </w:r>
      <w:r>
        <w:rPr>
          <w:rFonts w:cs="Arial" w:ascii="Arial" w:hAnsi="Arial"/>
          <w:sz w:val="28"/>
          <w:szCs w:val="28"/>
        </w:rPr>
        <w:t>21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בראש העין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הנאשם יועסק חמישה ימים בשבוע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8.5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שעות עבודה יומיות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בפיקוח אני פרץ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טל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cs="Arial" w:ascii="Arial" w:hAnsi="Arial"/>
          <w:sz w:val="28"/>
          <w:szCs w:val="28"/>
        </w:rPr>
        <w:t>050-6278541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החל מיום </w:t>
      </w:r>
      <w:r>
        <w:rPr>
          <w:rFonts w:cs="Arial" w:ascii="Arial" w:hAnsi="Arial"/>
          <w:sz w:val="28"/>
          <w:szCs w:val="28"/>
          <w:u w:val="single"/>
        </w:rPr>
        <w:t>21.7.2011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במועד האמור בשעה </w:t>
      </w:r>
      <w:r>
        <w:rPr>
          <w:rFonts w:cs="Arial" w:ascii="Arial" w:hAnsi="Arial"/>
          <w:sz w:val="28"/>
          <w:szCs w:val="28"/>
        </w:rPr>
        <w:t>8:00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יתייצב בפני המפקח על עבודות שירות לצורך קליטה והצבה במפקדת מחוז מרכז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יחידת עבודות שירות ת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cs="Arial" w:ascii="Arial" w:hAnsi="Arial"/>
          <w:sz w:val="28"/>
          <w:szCs w:val="28"/>
        </w:rPr>
        <w:t>81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רמלה </w:t>
      </w:r>
      <w:r>
        <w:rPr>
          <w:rFonts w:cs="Arial" w:ascii="Arial" w:hAnsi="Arial"/>
          <w:sz w:val="28"/>
          <w:szCs w:val="28"/>
        </w:rPr>
        <w:t>72100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אוטובוס מתחנה מרכזית רמלה או לוד קו מספר </w:t>
      </w:r>
      <w:r>
        <w:rPr>
          <w:rFonts w:cs="Arial" w:ascii="Arial" w:hAnsi="Arial"/>
          <w:sz w:val="28"/>
          <w:szCs w:val="28"/>
        </w:rPr>
        <w:t>247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הוסבר לנאשם כי עליו לעדכן את משרד הממונה בכל שינוי אם יחול בכתובת מגוריו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שעליו לעמוד בתנאי הפיקוח וביקורות פתע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וכי כל הפרה בעבודות השירות עשויה להביא להפסקה מנהלית ולריצוי יתרת העונש במאסר ממש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כמו כן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מוטלים </w:t>
      </w:r>
      <w:r>
        <w:rPr>
          <w:rFonts w:cs="Arial" w:ascii="Arial" w:hAnsi="Arial"/>
          <w:sz w:val="28"/>
          <w:szCs w:val="28"/>
        </w:rPr>
        <w:t>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אותם לא יישא אלא אם בתוך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שנים יחזור ויעבור כל עבירה שהיא לפי </w:t>
      </w:r>
      <w:hyperlink r:id="rId13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144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שידול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ניסיון או סיוע לבצעה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וכן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אותם לא יישא אלא אם בתוך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שנים יחזור ויעבור כל עבירה לפי </w:t>
      </w:r>
      <w:hyperlink r:id="rId15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הכניסה לישראל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הנשק שנתפס יחולט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זכות ערעור בתוך </w:t>
      </w:r>
      <w:r>
        <w:rPr>
          <w:rFonts w:cs="Arial" w:ascii="Arial" w:hAnsi="Arial"/>
          <w:b/>
          <w:bCs/>
          <w:sz w:val="28"/>
          <w:szCs w:val="28"/>
          <w:u w:val="single"/>
        </w:rPr>
        <w:t>45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יום מהיום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 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מויאל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53585-08-10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דאוד ראבי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90721/12.c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90721/12.c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2016-07-28T10:40:00Z</dcterms:created>
  <dc:creator>Alina</dc:creator>
  <dc:description/>
  <cp:keywords/>
  <dc:language>en-IL</dc:language>
  <cp:lastModifiedBy>hofit</cp:lastModifiedBy>
  <dcterms:modified xsi:type="dcterms:W3CDTF">2016-07-28T10:40:00Z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דאוד ראבי;מהדי אבו גאבר</vt:lpwstr>
  </property>
  <property fmtid="{D5CDD505-2E9C-101B-9397-08002B2CF9AE}" pid="4" name="CITY">
    <vt:lpwstr>פ"ת</vt:lpwstr>
  </property>
  <property fmtid="{D5CDD505-2E9C-101B-9397-08002B2CF9AE}" pid="5" name="DATE">
    <vt:lpwstr>20110630</vt:lpwstr>
  </property>
  <property fmtid="{D5CDD505-2E9C-101B-9397-08002B2CF9AE}" pid="6" name="JUDGE">
    <vt:lpwstr>ליה לב און</vt:lpwstr>
  </property>
  <property fmtid="{D5CDD505-2E9C-101B-9397-08002B2CF9AE}" pid="7" name="LAWLISTTMP1">
    <vt:lpwstr>70301/144.a;031;144</vt:lpwstr>
  </property>
  <property fmtid="{D5CDD505-2E9C-101B-9397-08002B2CF9AE}" pid="8" name="LAWLISTTMP2">
    <vt:lpwstr>90721/012.c.1</vt:lpwstr>
  </property>
  <property fmtid="{D5CDD505-2E9C-101B-9397-08002B2CF9AE}" pid="9" name="LAWYER">
    <vt:lpwstr>פאר;ג'לגולי</vt:lpwstr>
  </property>
  <property fmtid="{D5CDD505-2E9C-101B-9397-08002B2CF9AE}" pid="10" name="NEWPARTA">
    <vt:lpwstr>53585</vt:lpwstr>
  </property>
  <property fmtid="{D5CDD505-2E9C-101B-9397-08002B2CF9AE}" pid="11" name="NEWPARTB">
    <vt:lpwstr>08</vt:lpwstr>
  </property>
  <property fmtid="{D5CDD505-2E9C-101B-9397-08002B2CF9AE}" pid="12" name="NEWPARTC">
    <vt:lpwstr>10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380020110630</vt:lpwstr>
  </property>
  <property fmtid="{D5CDD505-2E9C-101B-9397-08002B2CF9AE}" pid="17" name="TYPE_N_DATE">
    <vt:lpwstr>38020110630</vt:lpwstr>
  </property>
  <property fmtid="{D5CDD505-2E9C-101B-9397-08002B2CF9AE}" pid="18" name="WORDNUMPAGES">
    <vt:lpwstr>4</vt:lpwstr>
  </property>
</Properties>
</file>