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53603-11-13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כשכ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ד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 עמי קובו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</w:p>
          <w:p>
            <w:pPr>
              <w:pStyle w:val="Normal"/>
              <w:spacing w:lineRule="auto" w:line="360" w:before="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רמלה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מרואן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כשכ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</w:t>
      </w:r>
      <w:r>
        <w:rPr>
          <w:rtl w:val="true"/>
        </w:rPr>
        <w:t>'</w:t>
      </w:r>
      <w:r>
        <w:rPr>
          <w:rtl w:val="true"/>
        </w:rPr>
        <w:t>יקוסקי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י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44"/>
                <w:szCs w:val="44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44"/>
                <w:sz w:val="44"/>
                <w:szCs w:val="44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44"/>
                <w:szCs w:val="44"/>
                <w:u w:val="single"/>
              </w:rPr>
            </w:pPr>
            <w:r>
              <w:rPr>
                <w:rFonts w:cs="Arial" w:ascii="Arial" w:hAnsi="Arial"/>
                <w:b/>
                <w:bCs/>
                <w:sz w:val="44"/>
                <w:szCs w:val="44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7" w:name="ABSTRACT_START"/>
      <w:bookmarkEnd w:id="7"/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bookmarkStart w:id="8" w:name="ABSTRACT_END"/>
      <w:bookmarkEnd w:id="8"/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360" w:start="16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תחמושת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360" w:start="16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נכס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חשוד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כגנוב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ascii="David" w:hAnsi="David"/>
          <w:b/>
          <w:b/>
          <w:bCs/>
          <w:color w:val="000000"/>
          <w:rtl w:val="true"/>
        </w:rPr>
        <w:t>יום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25.6.13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החזיק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בביתו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באופניים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השייכות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לעיריית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אביב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וכן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החזיק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53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כדורי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9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לאקדח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בתוך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גרב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הוסכם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שיכול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שהסתבר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הצהירה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והעדר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פרטני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15.12.14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39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גרוש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ותעסוקה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והתמכרותי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במרכז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לגמילה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השייך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כמנחה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ניסיונות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גמילה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וחזרה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בכוחות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ניקיון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משתתף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סדיר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במפגשי</w:t>
      </w:r>
      <w:r>
        <w:rPr>
          <w:rFonts w:cs="Calibri" w:ascii="Calibri" w:hAnsi="Calibri"/>
          <w:color w:val="000000"/>
        </w:rPr>
        <w:t>N.A</w:t>
      </w:r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ופעיל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במרכז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הגמילה</w:t>
      </w:r>
      <w:r>
        <w:rPr>
          <w:rFonts w:cs="Calibri" w:ascii="Calibri" w:hAnsi="Calibri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בהתייחסו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האופניים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ביודעו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גנובות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הימצאות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להסביר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כדורי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שייכים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וחשיבה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והתמכרותיים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עמוקים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בעיתוי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הנוכחי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מעמיק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הנדרש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למרות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השינויים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קיומם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ומשפחתיים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ודפוסיו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המושרשים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מעמידים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למעורבות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חוזרת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בפלילים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3.3.15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העירונית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לנפגעי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מאינפורמציה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שהתקבלה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עימם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ובדרישות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הופיע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הסוציאלית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שנמצאו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לנפגעי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להפחתת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לעבריינות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להערכתם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אינטנסיבית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זקוק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בבעיות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ואחרות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21.4.15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מהאינפורמציה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שהתקבלה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הסוציאלית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העירונית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לנפגעי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בקביעות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פרטניות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סדיר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כחודשיים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חיצונית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ונובעת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שילובו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אינטנסיבית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וממושכת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ממצבו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להיעזר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פרטניות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ומסירת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cs="David" w:ascii="David" w:hAnsi="David"/>
          <w:color w:val="000000"/>
          <w:rtl w:val="true"/>
        </w:rPr>
        <w:t xml:space="preserve">.    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ראיות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העיד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משה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גוטליב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שהינו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מדריך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נפגעי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סמים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רכז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מדריכים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ומלווה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אסירים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מטעם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רשות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שיקום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האסיר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מזה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24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שנים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נמצא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במרכז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הגמילה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אביב</w:t>
      </w:r>
      <w:r>
        <w:rPr>
          <w:rFonts w:cs="David" w:ascii="David" w:hAnsi="David"/>
          <w:color w:val="000000"/>
          <w:rtl w:val="true"/>
          <w:lang w:eastAsia="he-IL"/>
        </w:rPr>
        <w:t xml:space="preserve">" </w:t>
      </w:r>
      <w:r>
        <w:rPr>
          <w:rFonts w:ascii="David" w:hAnsi="David"/>
          <w:color w:val="000000"/>
          <w:rtl w:val="true"/>
          <w:lang w:eastAsia="he-IL"/>
        </w:rPr>
        <w:t>מאז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שהוקם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מכיר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היה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נקי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מסמים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מספר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שנים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חזר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להשתמש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בסם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בעקבות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בעיות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משפחתיות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ורפואיות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וכיום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נקי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מזה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שנה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עוזר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בקבוצות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טיפוליות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במקום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תומך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באשתו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ובילדיו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ומנסה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להשתלב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במעגל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העבודה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מתקשה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בכך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בריאותו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סייע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לאנשים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רבים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בעבר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ומגיע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לנסות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ולשקם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חייו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כעת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סבור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טיפול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פרטני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וקבוצתי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חוסן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תחת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ליווי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צמוד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יסייע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הכנסתו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כעת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לכלא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שיקומי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אסירים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שמשתמשים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בסם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יוריד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לטמיון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ההישגים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שהושגו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cs="David" w:ascii="David" w:hAnsi="David"/>
          <w:color w:val="000000"/>
          <w:rtl w:val="true"/>
          <w:lang w:eastAsia="he-IL"/>
        </w:rPr>
        <w:t xml:space="preserve">. 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מאור לונדר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1975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רכוש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הסתיימו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הרשעה</w:t>
      </w:r>
      <w:r>
        <w:rPr>
          <w:rFonts w:cs="David" w:ascii="David" w:hAnsi="David"/>
          <w:color w:val="000000"/>
          <w:rtl w:val="true"/>
        </w:rPr>
        <w:t xml:space="preserve">. 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וקנס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נפתחו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2013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אחיו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לעולמו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לפתוח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מרכז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גמילה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מרכז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הגמילה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מתפקד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חיצונית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מוכרים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הגמילה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חלפו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במהלכן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חופשי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מטפל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למרכז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אינטנסיבי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הוסיף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אפוטרופוס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לכלא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מנגנון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תלת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שלבי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ובנסיבותיה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התקיימותם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ייגזר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קביעת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לעקרון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בקניין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שנגנבו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מעיריית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תחמושת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למשל</w:t>
      </w:r>
      <w:r>
        <w:rPr>
          <w:rFonts w:ascii="David" w:hAnsi="David"/>
          <w:color w:val="000000"/>
          <w:rtl w:val="true"/>
        </w:rPr>
        <w:t xml:space="preserve">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כ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16868-06-11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מסארווה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20.2.13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רמ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38236-02-10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27.4.11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כ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52921-12-10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עמשה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11.5.11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עכו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7685-05-09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נגיב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26.1.11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3072-09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אלחמידי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1.5.11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כ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28034-11-09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זאבי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13.10.10</w:t>
      </w:r>
      <w:r>
        <w:rPr>
          <w:rFonts w:cs="David" w:ascii="David" w:hAnsi="David"/>
          <w:color w:val="000000"/>
          <w:rtl w:val="true"/>
        </w:rPr>
        <w:t xml:space="preserve">)).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כגנוב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18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</w:hyperlink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b/>
          <w:bCs/>
        </w:rPr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;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b/>
          <w:bCs/>
        </w:rPr>
      </w:pPr>
      <w:r>
        <w:rPr>
          <w:b/>
          <w:b/>
          <w:bCs/>
          <w:rtl w:val="true"/>
        </w:rPr>
        <w:t>הסיבות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שהביאו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גנובים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0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</w:hyperlink>
      <w:r>
        <w:rPr>
          <w:rFonts w:cs="David" w:ascii="David" w:hAnsi="David"/>
          <w:color w:val="000000"/>
          <w:rtl w:val="true"/>
        </w:rPr>
        <w:t xml:space="preserve">'),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1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</w:hyperlink>
      <w:r>
        <w:rPr>
          <w:rFonts w:cs="David" w:ascii="David" w:hAnsi="David"/>
          <w:color w:val="000000"/>
          <w:rtl w:val="true"/>
        </w:rPr>
        <w:t xml:space="preserve">').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1975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גרוש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הנמצאים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בחזקתו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יפגעו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ישלח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היסטוריה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התמכרות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והליכי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גמילה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ישלח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ולחזור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בסמים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2013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משתמש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בסמים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נפתחו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אלימות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ורכוש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2008</w:t>
      </w:r>
      <w:r>
        <w:rPr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למרות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להתחייב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אינטנסיבית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כגון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קהילה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סגורה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שהמליץ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שיתף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הגיע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למפגשים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ולשיחות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פרטניות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שנקבעו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בדיקות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המעידות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ניקיון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מסמים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שליחתו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מבוטלת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מאמצים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יציבות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הגמילה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להחזיר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ולגדוע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סיכויי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שיקומו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לכאורה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לאזן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יהווה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מוחשי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ומרתיע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1.9.15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1287" w:end="0"/>
        <w:jc w:val="both"/>
        <w:rPr>
          <w:lang w:eastAsia="he-IL"/>
        </w:rPr>
      </w:pPr>
      <w:r>
        <w:rPr>
          <w:rtl w:val="true"/>
          <w:lang w:eastAsia="he-IL"/>
        </w:rPr>
        <w:t>האופניים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לבעליהם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start="1287" w:end="0"/>
        <w:jc w:val="both"/>
        <w:rPr>
          <w:lang w:eastAsia="he-IL"/>
        </w:rPr>
      </w:pPr>
      <w:r>
        <w:rPr>
          <w:rtl w:val="true"/>
          <w:lang w:eastAsia="he-IL"/>
        </w:rPr>
        <w:t>התחמושת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תושמד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 w:before="0" w:after="12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53603-11-13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משטרת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מרואן אבו כשכ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David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David"/>
    </w:rPr>
  </w:style>
  <w:style w:type="character" w:styleId="WW8Num3z1">
    <w:name w:val="WW8Num3z1"/>
    <w:qFormat/>
    <w:rPr>
      <w:rFonts w:cs="David"/>
      <w:b w:val="false"/>
      <w:bCs w:val="false"/>
    </w:rPr>
  </w:style>
  <w:style w:type="character" w:styleId="WW8Num3z2">
    <w:name w:val="WW8Num3z2"/>
    <w:qFormat/>
    <w:rPr>
      <w:rFonts w:cs="Times New Roman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/413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13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3571201" TargetMode="External"/><Relationship Id="rId13" Type="http://schemas.openxmlformats.org/officeDocument/2006/relationships/hyperlink" Target="http://www.nevo.co.il/case/5453167" TargetMode="External"/><Relationship Id="rId14" Type="http://schemas.openxmlformats.org/officeDocument/2006/relationships/hyperlink" Target="http://www.nevo.co.il/case/5079805" TargetMode="External"/><Relationship Id="rId15" Type="http://schemas.openxmlformats.org/officeDocument/2006/relationships/hyperlink" Target="http://www.nevo.co.il/case/4327069" TargetMode="External"/><Relationship Id="rId16" Type="http://schemas.openxmlformats.org/officeDocument/2006/relationships/hyperlink" Target="http://www.nevo.co.il/case/2453561" TargetMode="External"/><Relationship Id="rId17" Type="http://schemas.openxmlformats.org/officeDocument/2006/relationships/hyperlink" Target="http://www.nevo.co.il/case/4504402" TargetMode="External"/><Relationship Id="rId18" Type="http://schemas.openxmlformats.org/officeDocument/2006/relationships/hyperlink" Target="http://www.nevo.co.il/law/70301/40i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jc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2017-10-30T07:14:00Z</dcterms:created>
  <dc:creator> </dc:creator>
  <dc:description/>
  <cp:keywords/>
  <dc:language>en-IL</dc:language>
  <cp:lastModifiedBy>yafit</cp:lastModifiedBy>
  <dcterms:modified xsi:type="dcterms:W3CDTF">2017-10-30T07:14:00Z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משטרת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מרואן אבו כשכ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3571201;5453167;5079805;4327069;2453561;4504402</vt:lpwstr>
  </property>
  <property fmtid="{D5CDD505-2E9C-101B-9397-08002B2CF9AE}" pid="9" name="CITY">
    <vt:lpwstr>רמ'</vt:lpwstr>
  </property>
  <property fmtid="{D5CDD505-2E9C-101B-9397-08002B2CF9AE}" pid="10" name="DATE">
    <vt:lpwstr>20150531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ד#ר עמי קובו</vt:lpwstr>
  </property>
  <property fmtid="{D5CDD505-2E9C-101B-9397-08002B2CF9AE}" pid="14" name="LAWLISTTMP1">
    <vt:lpwstr>70301/144.a;413;040i;40jc;40ja</vt:lpwstr>
  </property>
  <property fmtid="{D5CDD505-2E9C-101B-9397-08002B2CF9AE}" pid="15" name="LAWYER">
    <vt:lpwstr>אורית מנצ'יקוסקי;שי טובים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53603</vt:lpwstr>
  </property>
  <property fmtid="{D5CDD505-2E9C-101B-9397-08002B2CF9AE}" pid="22" name="NEWPARTB">
    <vt:lpwstr>11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380020150531</vt:lpwstr>
  </property>
  <property fmtid="{D5CDD505-2E9C-101B-9397-08002B2CF9AE}" pid="34" name="TYPE_N_DATE">
    <vt:lpwstr>38020150531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