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81"/>
        <w:gridCol w:w="559"/>
        <w:gridCol w:w="121"/>
        <w:gridCol w:w="2279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6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5361-06-08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8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בדר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דורית לוי פרנק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בויראת עאדל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-360"/>
        <w:jc w:val="start"/>
        <w:rPr/>
      </w:pPr>
      <w:bookmarkStart w:id="7" w:name="ABSTRACT_START"/>
      <w:bookmarkEnd w:id="7"/>
      <w:r>
        <w:rPr>
          <w:b/>
          <w:b/>
          <w:bCs/>
          <w:u w:val="single"/>
          <w:rtl w:val="true"/>
        </w:rPr>
        <w:t>הנאשם הורשע על פי הודייתו בעבירות המיוחסות לו בכתב האישום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שתוקן בישיבת יום </w:t>
      </w:r>
      <w:r>
        <w:rPr/>
        <w:t>1/1/09</w:t>
      </w:r>
      <w:r>
        <w:rPr>
          <w:rtl w:val="true"/>
        </w:rPr>
        <w:t xml:space="preserve">): </w:t>
      </w:r>
    </w:p>
    <w:p>
      <w:pPr>
        <w:pStyle w:val="Normal"/>
        <w:spacing w:lineRule="auto" w:line="480"/>
        <w:ind w:end="0"/>
        <w:jc w:val="start"/>
        <w:rPr/>
      </w:pPr>
      <w:r>
        <w:rPr>
          <w:b/>
          <w:b/>
          <w:bCs/>
          <w:rtl w:val="true"/>
        </w:rPr>
        <w:t>תקיפה סתם</w:t>
      </w:r>
      <w:r>
        <w:rPr>
          <w:rtl w:val="true"/>
        </w:rPr>
        <w:t xml:space="preserve"> – סעיף </w:t>
      </w:r>
      <w:r>
        <w:rPr/>
        <w:t>379</w:t>
      </w:r>
      <w:r>
        <w:rPr>
          <w:rtl w:val="true"/>
        </w:rPr>
        <w:t xml:space="preserve"> 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 </w:t>
      </w:r>
    </w:p>
    <w:p>
      <w:pPr>
        <w:pStyle w:val="Normal"/>
        <w:spacing w:lineRule="auto" w:line="480"/>
        <w:ind w:end="0"/>
        <w:jc w:val="start"/>
        <w:rPr/>
      </w:pPr>
      <w:r>
        <w:rPr>
          <w:b/>
          <w:b/>
          <w:bCs/>
          <w:rtl w:val="true"/>
        </w:rPr>
        <w:t>החזקת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 –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,</w:t>
      </w:r>
    </w:p>
    <w:p>
      <w:pPr>
        <w:pStyle w:val="Normal"/>
        <w:spacing w:lineRule="auto" w:line="480"/>
        <w:ind w:end="0"/>
        <w:jc w:val="start"/>
        <w:rPr/>
      </w:pPr>
      <w:r>
        <w:rPr>
          <w:b/>
          <w:b/>
          <w:bCs/>
          <w:rtl w:val="true"/>
        </w:rPr>
        <w:t>יריות באיזור מגורים</w:t>
      </w:r>
      <w:r>
        <w:rPr>
          <w:rtl w:val="true"/>
        </w:rPr>
        <w:t xml:space="preserve"> – סעיף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  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</w:p>
    <w:p>
      <w:pPr>
        <w:pStyle w:val="Normal"/>
        <w:spacing w:lineRule="auto" w:line="480"/>
        <w:ind w:end="0"/>
        <w:jc w:val="start"/>
        <w:rPr/>
      </w:pPr>
      <w:r>
        <w:rPr>
          <w:b/>
          <w:b/>
          <w:bCs/>
          <w:rtl w:val="true"/>
        </w:rPr>
        <w:t>וחבלה במזיד לרכב</w:t>
      </w:r>
      <w:r>
        <w:rPr>
          <w:rtl w:val="true"/>
        </w:rPr>
        <w:t xml:space="preserve"> –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ה 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 xml:space="preserve">מדובר באירוע מיום </w:t>
      </w:r>
      <w:r>
        <w:rPr/>
        <w:t>8/6/08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 xml:space="preserve"> </w:t>
      </w:r>
      <w:r>
        <w:rPr>
          <w:rtl w:val="true"/>
        </w:rPr>
        <w:t>כאשר הנאשם נהג ברכב באום אל פחם</w:t>
      </w:r>
      <w:r>
        <w:rPr>
          <w:rtl w:val="true"/>
        </w:rPr>
        <w:t xml:space="preserve">, </w:t>
      </w:r>
      <w:r>
        <w:rPr>
          <w:rtl w:val="true"/>
        </w:rPr>
        <w:t>פרץ ויכוח בינו לבין המתלונן על זכות הדרך</w:t>
      </w:r>
      <w:r>
        <w:rPr>
          <w:rtl w:val="true"/>
        </w:rPr>
        <w:t xml:space="preserve">,  </w:t>
      </w:r>
      <w:r>
        <w:rPr>
          <w:rtl w:val="true"/>
        </w:rPr>
        <w:t xml:space="preserve">ומאוחר יותר באותו יום הוא שלף אקדח וירה על רכב הגולף השייך למתלונן </w:t>
      </w:r>
      <w:r>
        <w:rPr>
          <w:rtl w:val="true"/>
        </w:rPr>
        <w:t>(</w:t>
      </w:r>
      <w:r>
        <w:rPr>
          <w:rtl w:val="true"/>
        </w:rPr>
        <w:t>שלא היה ברכב באותו זמן</w:t>
      </w:r>
      <w:r>
        <w:rPr>
          <w:rtl w:val="true"/>
        </w:rPr>
        <w:t xml:space="preserve">) </w:t>
      </w:r>
      <w:r>
        <w:rPr>
          <w:rtl w:val="true"/>
        </w:rPr>
        <w:t>וברכב נתגלו שלושה  סימני קליעים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הנאשם נשלח לתסקיר של שירות המבחן</w:t>
      </w:r>
      <w:r>
        <w:rPr>
          <w:rtl w:val="true"/>
        </w:rPr>
        <w:t xml:space="preserve">, </w:t>
      </w:r>
      <w:r>
        <w:rPr>
          <w:rtl w:val="true"/>
        </w:rPr>
        <w:t>וקצין המבחן סבר שיש מקום לענישה שתציב גבולות ברורים</w:t>
      </w:r>
      <w:r>
        <w:rPr>
          <w:rtl w:val="true"/>
        </w:rPr>
        <w:t xml:space="preserve">, </w:t>
      </w:r>
      <w:r>
        <w:rPr>
          <w:rtl w:val="true"/>
        </w:rPr>
        <w:t>אבל הציע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 </w:t>
      </w:r>
      <w:r>
        <w:rPr>
          <w:rtl w:val="true"/>
        </w:rPr>
        <w:t>אם ביהמ</w:t>
      </w:r>
      <w:r>
        <w:rPr>
          <w:rtl w:val="true"/>
        </w:rPr>
        <w:t>"</w:t>
      </w:r>
      <w:r>
        <w:rPr>
          <w:rtl w:val="true"/>
        </w:rPr>
        <w:t>ש לא ישלח את הנאשם למאסר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להטיל עליו צו מבחן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מקריאת התסקיר ברור שגם קצין המבחן סבור שיש להטיל על הנאשם מאסר לריצוי 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הנאשם כבר הורשע בעבר בעבירה של החזקת</w:t>
      </w:r>
      <w:r>
        <w:rPr>
          <w:rtl w:val="true"/>
        </w:rPr>
        <w:t xml:space="preserve">-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וכבר נשלח למאסר שהומר לעבודות שירות</w:t>
      </w:r>
      <w:r>
        <w:rPr>
          <w:rtl w:val="true"/>
        </w:rPr>
        <w:t xml:space="preserve">. </w:t>
      </w:r>
      <w:r>
        <w:rPr>
          <w:rtl w:val="true"/>
        </w:rPr>
        <w:t>נכון שהוא לא ישב מעודו מאחורי סורג ובריח</w:t>
      </w:r>
      <w:r>
        <w:rPr>
          <w:rtl w:val="true"/>
        </w:rPr>
        <w:t xml:space="preserve">, </w:t>
      </w:r>
      <w:r>
        <w:rPr>
          <w:rtl w:val="true"/>
        </w:rPr>
        <w:t>אבל משלא השכיל להבין</w:t>
      </w:r>
      <w:r>
        <w:rPr>
          <w:rtl w:val="true"/>
        </w:rPr>
        <w:t xml:space="preserve">, </w:t>
      </w:r>
      <w:r>
        <w:rPr>
          <w:rtl w:val="true"/>
        </w:rPr>
        <w:t xml:space="preserve">אחרי שהורשע בעבירה קודמת </w:t>
      </w:r>
      <w:r>
        <w:rPr>
          <w:rtl w:val="true"/>
        </w:rPr>
        <w:t>,</w:t>
      </w:r>
      <w:r>
        <w:rPr>
          <w:rtl w:val="true"/>
        </w:rPr>
        <w:t>את החומרת שבהחזקת כלי</w:t>
      </w:r>
      <w:r>
        <w:rPr>
          <w:rtl w:val="true"/>
        </w:rPr>
        <w:t xml:space="preserve">- </w:t>
      </w:r>
      <w:r>
        <w:rPr>
          <w:rtl w:val="true"/>
        </w:rPr>
        <w:t>היריה</w:t>
      </w:r>
      <w:r>
        <w:rPr>
          <w:rtl w:val="true"/>
        </w:rPr>
        <w:t xml:space="preserve">, </w:t>
      </w:r>
      <w:r>
        <w:rPr>
          <w:rtl w:val="true"/>
        </w:rPr>
        <w:t>שלא לדבר על הירי עצמו ועוד באיזור מגורים</w:t>
      </w:r>
      <w:r>
        <w:rPr>
          <w:rtl w:val="true"/>
        </w:rPr>
        <w:t xml:space="preserve">, </w:t>
      </w:r>
      <w:r>
        <w:rPr>
          <w:rtl w:val="true"/>
        </w:rPr>
        <w:t>נראה שאין מנוס אלא להטיל עליו מאסר לריצוי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פסקי הדין אליהם הפנה ב</w:t>
      </w:r>
      <w:r>
        <w:rPr>
          <w:rtl w:val="true"/>
        </w:rPr>
        <w:t>"</w:t>
      </w:r>
      <w:r>
        <w:rPr>
          <w:rtl w:val="true"/>
        </w:rPr>
        <w:t>כ הנאשם בסיכומיו אינם מלמדים על רמת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גם משום שחלקם ניתנו בערעורים על פסקי דין של ערכאה נמוכה </w:t>
      </w:r>
      <w:r>
        <w:rPr>
          <w:rtl w:val="true"/>
        </w:rPr>
        <w:t>(</w:t>
      </w:r>
      <w:r>
        <w:rPr>
          <w:rtl w:val="true"/>
        </w:rPr>
        <w:t>וכידוע</w:t>
      </w:r>
      <w:r>
        <w:rPr>
          <w:rtl w:val="true"/>
        </w:rPr>
        <w:t xml:space="preserve">: </w:t>
      </w:r>
      <w:r>
        <w:rPr>
          <w:rtl w:val="true"/>
        </w:rPr>
        <w:t>ערכאת הערעור אינה ממצה את הדין</w:t>
      </w:r>
      <w:r>
        <w:rPr>
          <w:rtl w:val="true"/>
        </w:rPr>
        <w:t>)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אך בעיקר אינם רלבנטיים כי הנאשמים שם לא היו בעלי הרשעות קודמות בעבירות 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 xml:space="preserve">נכון שבישיבת יום </w:t>
      </w:r>
      <w:r>
        <w:rPr/>
        <w:t>1/1/09</w:t>
      </w:r>
      <w:r>
        <w:rPr>
          <w:rtl w:val="true"/>
        </w:rPr>
        <w:t xml:space="preserve"> </w:t>
      </w:r>
      <w:r>
        <w:rPr>
          <w:rtl w:val="true"/>
        </w:rPr>
        <w:t>כאשר הנאשם הודה בכתב א ישום המתוקן ונשלח בהסכמה לתסקיר של שירות המבחן</w:t>
      </w:r>
      <w:r>
        <w:rPr>
          <w:rtl w:val="true"/>
        </w:rPr>
        <w:t xml:space="preserve">, </w:t>
      </w:r>
      <w:r>
        <w:rPr>
          <w:rtl w:val="true"/>
        </w:rPr>
        <w:t>הסכימה המאשימה שבית המשפט יוכל לבקש גם חוות דעת של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אם לדעתו יש טעם בכך</w:t>
      </w:r>
      <w:r>
        <w:rPr>
          <w:rtl w:val="true"/>
        </w:rPr>
        <w:t xml:space="preserve">, </w:t>
      </w:r>
      <w:r>
        <w:rPr>
          <w:rtl w:val="true"/>
        </w:rPr>
        <w:t>אך באותה נשימה הדגישה כי אין שום  הסדר לעניין העונש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>בהתחשב בכל האמור לעיל</w:t>
      </w:r>
      <w:r>
        <w:rPr>
          <w:rtl w:val="true"/>
        </w:rPr>
        <w:t xml:space="preserve">,  </w:t>
      </w:r>
      <w:r>
        <w:rPr>
          <w:rtl w:val="true"/>
        </w:rPr>
        <w:t>וגם בכך שהנאשם נמצא חודשים ארוכים מאד במעצר</w:t>
      </w:r>
      <w:r>
        <w:rPr>
          <w:rtl w:val="true"/>
        </w:rPr>
        <w:t>-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תחילה מלא ואח</w:t>
      </w:r>
      <w:r>
        <w:rPr>
          <w:rtl w:val="true"/>
        </w:rPr>
        <w:t>"</w:t>
      </w:r>
      <w:r>
        <w:rPr>
          <w:rtl w:val="true"/>
        </w:rPr>
        <w:t>כ חלקי</w:t>
      </w:r>
      <w:r>
        <w:rPr>
          <w:rtl w:val="true"/>
        </w:rPr>
        <w:t xml:space="preserve">, </w:t>
      </w:r>
      <w:r>
        <w:rPr>
          <w:rtl w:val="true"/>
        </w:rPr>
        <w:t>בית המשפט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 בניכוי ימי מעצרו </w:t>
      </w:r>
      <w:r>
        <w:rPr>
          <w:rtl w:val="true"/>
        </w:rPr>
        <w:t>(</w:t>
      </w:r>
      <w:r>
        <w:rPr>
          <w:rtl w:val="true"/>
        </w:rPr>
        <w:t xml:space="preserve">הנאשם היה עצור מיום </w:t>
      </w:r>
      <w:r>
        <w:rPr>
          <w:u w:val="single"/>
        </w:rPr>
        <w:t>9.6.08</w:t>
      </w:r>
      <w:r>
        <w:rPr>
          <w:rtl w:val="true"/>
        </w:rPr>
        <w:t xml:space="preserve"> </w:t>
      </w:r>
      <w:r>
        <w:rPr>
          <w:rtl w:val="true"/>
        </w:rPr>
        <w:t xml:space="preserve">ועד ליום </w:t>
      </w:r>
      <w:r>
        <w:rPr>
          <w:u w:val="single"/>
        </w:rPr>
        <w:t>25.6.08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שיחרורו עבירה הקשורה בכלי</w:t>
      </w:r>
      <w:r>
        <w:rPr>
          <w:rtl w:val="true"/>
        </w:rPr>
        <w:t>-</w:t>
      </w:r>
      <w:r>
        <w:rPr>
          <w:rtl w:val="true"/>
        </w:rPr>
        <w:t>יריה</w:t>
      </w:r>
      <w:r>
        <w:rPr>
          <w:rtl w:val="true"/>
        </w:rPr>
        <w:t xml:space="preserve">, </w:t>
      </w:r>
      <w:r>
        <w:rPr>
          <w:rtl w:val="true"/>
        </w:rPr>
        <w:t>או עבירה של אלימות</w:t>
      </w:r>
      <w:r>
        <w:rPr>
          <w:rtl w:val="true"/>
        </w:rPr>
        <w:t>-</w:t>
      </w:r>
      <w:r>
        <w:rPr>
          <w:rtl w:val="true"/>
        </w:rPr>
        <w:t>פיזית נגד אדם או רכוש שעונשה שלוש שנות מאסר ומעלה</w:t>
      </w:r>
      <w:r>
        <w:rPr>
          <w:rtl w:val="true"/>
        </w:rPr>
        <w:t xml:space="preserve">,  </w:t>
      </w:r>
      <w:r>
        <w:rPr>
          <w:rtl w:val="true"/>
        </w:rPr>
        <w:t>ויורשע בה בין בתקופת</w:t>
      </w:r>
      <w:r>
        <w:rPr>
          <w:rtl w:val="true"/>
        </w:rPr>
        <w:t>-</w:t>
      </w:r>
      <w:r>
        <w:rPr>
          <w:rtl w:val="true"/>
        </w:rPr>
        <w:t>התנאי ובין לאחריה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  <w:t xml:space="preserve">הנאשם יתייצב לריצוי מאסרו ביום </w:t>
      </w:r>
      <w:r>
        <w:rPr>
          <w:b/>
          <w:bCs/>
          <w:u w:val="single"/>
        </w:rPr>
        <w:t>6.7.09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>
          <w:b/>
          <w:bCs/>
          <w:u w:val="single"/>
        </w:rPr>
        <w:t>08:30</w:t>
      </w:r>
      <w:r>
        <w:rPr>
          <w:rtl w:val="true"/>
        </w:rPr>
        <w:t xml:space="preserve"> </w:t>
      </w:r>
      <w:r>
        <w:rPr>
          <w:rtl w:val="true"/>
        </w:rPr>
        <w:t>במזכירות הפלילית של בימ</w:t>
      </w:r>
      <w:r>
        <w:rPr>
          <w:rtl w:val="true"/>
        </w:rPr>
        <w:t>"</w:t>
      </w:r>
      <w:r>
        <w:rPr>
          <w:rtl w:val="true"/>
        </w:rPr>
        <w:t>ש השלום בחדרה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u w:val="single"/>
        </w:rPr>
      </w:pPr>
      <w:r>
        <w:rPr>
          <w:u w:val="single"/>
          <w:rtl w:val="true"/>
        </w:rPr>
        <w:t xml:space="preserve">הודעה זכות ערעור בתוך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 לבית המשפט המחוזי בחיפה</w:t>
      </w:r>
      <w:r>
        <w:rPr>
          <w:u w:val="single"/>
          <w:rtl w:val="true"/>
        </w:rPr>
        <w:t>.</w:t>
      </w:r>
    </w:p>
    <w:p>
      <w:pPr>
        <w:pStyle w:val="David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20/05/2009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אהוד קפלן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אהוד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קפלן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ורדה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ורדה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שגן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/Users/liorb/Downloads/study2025-p2/SH-08-06-5361-287.doc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5361-06-08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 מחוז חיפה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בדר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מוחמד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מחאג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361-06-08"/>
    <w:docVar w:name="caseId" w:val="6995913"/>
    <w:docVar w:name="deriveClass" w:val="NGCS.Protocol.BL.Client.ProtocolBLClientCriminal"/>
    <w:docVar w:name="firstPageNumber" w:val="10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37964"/>
    <w:docVar w:name="releaseSign" w:val="0"/>
    <w:docVar w:name="sittingDateTime" w:val="20/05/2009 11:00     "/>
    <w:docVar w:name="sittingId" w:val="1551244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2009-05-20T23:37:00Z</dcterms:created>
  <dc:creator> </dc:creator>
  <dc:description/>
  <cp:keywords/>
  <dc:language>en-IL</dc:language>
  <cp:lastModifiedBy>hofit</cp:lastModifiedBy>
  <cp:lastPrinted>2009-05-20T12:17:00Z</cp:lastPrinted>
  <dcterms:modified xsi:type="dcterms:W3CDTF">2009-05-21T08:36:00Z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חיפה</vt:lpwstr>
  </property>
  <property fmtid="{D5CDD505-2E9C-101B-9397-08002B2CF9AE}" pid="3" name="APPELLEE">
    <vt:lpwstr>בדר (מוחמד) מחאג'נה</vt:lpwstr>
  </property>
  <property fmtid="{D5CDD505-2E9C-101B-9397-08002B2CF9AE}" pid="4" name="CITY">
    <vt:lpwstr>חד'</vt:lpwstr>
  </property>
  <property fmtid="{D5CDD505-2E9C-101B-9397-08002B2CF9AE}" pid="5" name="DATE">
    <vt:lpwstr>20090520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אהוד קפלן</vt:lpwstr>
  </property>
  <property fmtid="{D5CDD505-2E9C-101B-9397-08002B2CF9AE}" pid="9" name="LAWYER">
    <vt:lpwstr>דורית לוי פרנק;בויראת עאדל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5361</vt:lpwstr>
  </property>
  <property fmtid="{D5CDD505-2E9C-101B-9397-08002B2CF9AE}" pid="23" name="NEWPARTB">
    <vt:lpwstr>06</vt:lpwstr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380020090520</vt:lpwstr>
  </property>
  <property fmtid="{D5CDD505-2E9C-101B-9397-08002B2CF9AE}" pid="35" name="TYPE_N_DATE">
    <vt:lpwstr>38020090520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