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  <w:drawing>
          <wp:inline distT="0" distB="0" distL="0" distR="0">
            <wp:extent cx="513715" cy="571500"/>
            <wp:effectExtent l="0" t="0" r="0" b="0"/>
            <wp:docPr id="1" name="Menora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ora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1" t="-28" r="-31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5362-12-09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 ראס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אחר</w:t>
            </w:r>
            <w:r>
              <w:rPr>
                <w:b/>
                <w:bCs/>
                <w:sz w:val="26"/>
                <w:szCs w:val="26"/>
                <w:rtl w:val="true"/>
              </w:rPr>
              <w:t>/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נוסף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פברואר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5366-12-09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מיכאל קרשן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סעד אבו ראס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אחר</w:t>
            </w:r>
            <w:r>
              <w:rPr>
                <w:b/>
                <w:bCs/>
                <w:sz w:val="26"/>
                <w:szCs w:val="26"/>
                <w:rtl w:val="true"/>
              </w:rPr>
              <w:t>/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נוסף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 איריס פיקר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בראנסי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בעצמו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LastJudge"/>
      <w:bookmarkStart w:id="5" w:name="PsakDin"/>
      <w:bookmarkEnd w:id="4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6" w:name="PsakDin"/>
      <w:bookmarkStart w:id="7" w:name="PsakDin"/>
      <w:bookmarkEnd w:id="7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הרשעתי את הנאשם על יסוד הודייתו בביצוע עבירה של החזקת נשק לפי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3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 xml:space="preserve">בכך שביום </w:t>
      </w:r>
      <w:r>
        <w:rPr/>
        <w:t>24.11.09</w:t>
      </w:r>
      <w:r>
        <w:rPr>
          <w:rtl w:val="true"/>
        </w:rPr>
        <w:t xml:space="preserve"> </w:t>
      </w:r>
      <w:r>
        <w:rPr>
          <w:rtl w:val="true"/>
        </w:rPr>
        <w:t>החזיק הנאשם בקומה השניה בביתו בטייבה אקדח מסוג ברטה ומחסנית של אקדח וזאת ללא רשות על פי דין להחזיקם</w:t>
      </w:r>
      <w:r>
        <w:rPr>
          <w:rtl w:val="true"/>
        </w:rPr>
        <w:t xml:space="preserve">. </w:t>
      </w:r>
      <w:r>
        <w:rPr>
          <w:rtl w:val="true"/>
        </w:rPr>
        <w:t>הנאשם ביקש לצרף תיק נוסף שעניינו עבירות של הפרת הוראה חוקית</w:t>
      </w:r>
      <w:r>
        <w:rPr>
          <w:rtl w:val="true"/>
        </w:rPr>
        <w:t xml:space="preserve">, </w:t>
      </w:r>
      <w:r>
        <w:rPr>
          <w:rtl w:val="true"/>
        </w:rPr>
        <w:t xml:space="preserve">והיום הרשעתיו בביצוע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עבירות כאמור לפי סעיף </w:t>
      </w:r>
      <w:r>
        <w:rPr/>
        <w:t>287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4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ההפרות מתבטאות בכך שנרשמו לחובתו של הנאשם דיווחים מיחידת האיזוק האלקטרוני</w:t>
      </w:r>
      <w:r>
        <w:rPr>
          <w:rtl w:val="true"/>
        </w:rPr>
        <w:t xml:space="preserve">, </w:t>
      </w:r>
      <w:r>
        <w:rPr>
          <w:rtl w:val="true"/>
        </w:rPr>
        <w:t>מהם עולה כי בארבע תאריכים שונים לא שהה הנאשם בבית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הוא צעיר לימים</w:t>
      </w:r>
      <w:r>
        <w:rPr>
          <w:rtl w:val="true"/>
        </w:rPr>
        <w:t xml:space="preserve">. </w:t>
      </w:r>
      <w:r>
        <w:rPr>
          <w:rtl w:val="true"/>
        </w:rPr>
        <w:t xml:space="preserve">בעת ביצוע העבירה המרכזית היה כבן </w:t>
      </w:r>
      <w:r>
        <w:rPr/>
        <w:t>19</w:t>
      </w:r>
      <w:r>
        <w:rPr>
          <w:rtl w:val="true"/>
        </w:rPr>
        <w:t xml:space="preserve">. </w:t>
      </w:r>
      <w:r>
        <w:rPr>
          <w:rtl w:val="true"/>
        </w:rPr>
        <w:t>לנאשם עבר פלילי מבית משפט לנוער</w:t>
      </w:r>
      <w:r>
        <w:rPr>
          <w:rtl w:val="true"/>
        </w:rPr>
        <w:t xml:space="preserve">. </w:t>
      </w:r>
      <w:r>
        <w:rPr>
          <w:rtl w:val="true"/>
        </w:rPr>
        <w:t xml:space="preserve">הנאשם הורשע בשנת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בעבירות חמורות למדי של פציעה כשהעבריין מזוין</w:t>
      </w:r>
      <w:r>
        <w:rPr>
          <w:rtl w:val="true"/>
        </w:rPr>
        <w:t xml:space="preserve">, </w:t>
      </w:r>
      <w:r>
        <w:rPr>
          <w:rtl w:val="true"/>
        </w:rPr>
        <w:t>פציעה ותקיפה סתם</w:t>
      </w:r>
      <w:r>
        <w:rPr>
          <w:rtl w:val="true"/>
        </w:rPr>
        <w:t xml:space="preserve">. </w:t>
      </w:r>
      <w:r>
        <w:rPr>
          <w:rtl w:val="true"/>
        </w:rPr>
        <w:t>יחד עם זאת באותו הליך הוטלה התחייבות להימנע מעבירה וכן מאסר על תנאי ופיקוח קצין 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הצדדים הציגו לבית המשפט הסדר לעניין העונש</w:t>
      </w:r>
      <w:r>
        <w:rPr>
          <w:rtl w:val="true"/>
        </w:rPr>
        <w:t xml:space="preserve">, </w:t>
      </w:r>
      <w:r>
        <w:rPr>
          <w:rtl w:val="true"/>
        </w:rPr>
        <w:t xml:space="preserve">שעיקרו מאסר בפועל לתקופה של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 xml:space="preserve">התביעה מנמקת את ההסדר בהודאתו של הנאשם אשר חסכה זמן שיפוטי וכן בקשיים ראייתיים משמעותיים שפורטו על ידה </w:t>
      </w:r>
      <w:r>
        <w:rPr>
          <w:rtl w:val="true"/>
        </w:rPr>
        <w:t>(</w:t>
      </w:r>
      <w:r>
        <w:rPr>
          <w:rtl w:val="true"/>
        </w:rPr>
        <w:t>הן קשיים הנוגעים לתשתית הראייתית שעמדה ביסוד כתב האישום והן כאלה הנובעים מקיומו של חומר חסוי עליו הוצאה תעודת חיסיון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עמד על כך כי הנאשם לא נתפס מבצע עבירות לאחר המעשה בגינו הוא נותן את הדין היום וכן הזכיר כי הנאשם נתון מזה כעשרה חודשים במעצר בית מלא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 שבחנתי את ההסדר הגעתי למסקנה כי הוא ראוי ועל כן אכבדו</w:t>
      </w:r>
      <w:r>
        <w:rPr>
          <w:rtl w:val="true"/>
        </w:rPr>
        <w:t xml:space="preserve">. </w:t>
      </w:r>
      <w:r>
        <w:rPr>
          <w:rtl w:val="true"/>
        </w:rPr>
        <w:t>אין ספק כי עבירות הנשק</w:t>
      </w:r>
      <w:r>
        <w:rPr>
          <w:rtl w:val="true"/>
        </w:rPr>
        <w:t xml:space="preserve">, </w:t>
      </w:r>
      <w:r>
        <w:rPr>
          <w:rtl w:val="true"/>
        </w:rPr>
        <w:t>במיוחד בתחום אזורינו</w:t>
      </w:r>
      <w:r>
        <w:rPr>
          <w:rtl w:val="true"/>
        </w:rPr>
        <w:t xml:space="preserve">, </w:t>
      </w:r>
      <w:r>
        <w:rPr>
          <w:rtl w:val="true"/>
        </w:rPr>
        <w:t>הן עבירות נפוצות שמסכנות את הציבור</w:t>
      </w:r>
      <w:r>
        <w:rPr>
          <w:rtl w:val="true"/>
        </w:rPr>
        <w:t xml:space="preserve">. </w:t>
      </w:r>
      <w:r>
        <w:rPr>
          <w:rtl w:val="true"/>
        </w:rPr>
        <w:t>נשק שמוחזק סופו לירות ולסכן חיי אדם</w:t>
      </w:r>
      <w:r>
        <w:rPr>
          <w:rtl w:val="true"/>
        </w:rPr>
        <w:t xml:space="preserve">. </w:t>
      </w:r>
      <w:r>
        <w:rPr>
          <w:rtl w:val="true"/>
        </w:rPr>
        <w:t>ככלל העונש הראוי לנאשמים</w:t>
      </w:r>
      <w:r>
        <w:rPr>
          <w:rtl w:val="true"/>
        </w:rPr>
        <w:t xml:space="preserve">, </w:t>
      </w:r>
      <w:r>
        <w:rPr>
          <w:rtl w:val="true"/>
        </w:rPr>
        <w:t>וודאי כאלה שלהם עבר פלילי בעבירות חמורות כמו הנאשם שלפנינו</w:t>
      </w:r>
      <w:r>
        <w:rPr>
          <w:rtl w:val="true"/>
        </w:rPr>
        <w:t xml:space="preserve">, </w:t>
      </w:r>
      <w:r>
        <w:rPr>
          <w:rtl w:val="true"/>
        </w:rPr>
        <w:t>הוא עונש מאסר לריצוי בפועל לתקופה ממושכת</w:t>
      </w:r>
      <w:r>
        <w:rPr>
          <w:rtl w:val="true"/>
        </w:rPr>
        <w:t xml:space="preserve">. </w:t>
      </w:r>
      <w:r>
        <w:rPr>
          <w:rtl w:val="true"/>
        </w:rPr>
        <w:t>הצדדים לא חרגו מן הכלל האמור והציעו לבית המשפט לגזור על הנאשם עונש מאסר</w:t>
      </w:r>
      <w:r>
        <w:rPr>
          <w:rtl w:val="true"/>
        </w:rPr>
        <w:t xml:space="preserve">. </w:t>
      </w:r>
      <w:r>
        <w:rPr>
          <w:rtl w:val="true"/>
        </w:rPr>
        <w:t>דעתי היא כי תקופת המאסר הקצרה מוצדקת נוכח הנימוקים שהועלו לפניי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 על כן אני גוזר על הנאשם את העונשים הבאים</w:t>
      </w:r>
      <w:r>
        <w:rPr>
          <w:rtl w:val="true"/>
        </w:rPr>
        <w:t xml:space="preserve">, </w:t>
      </w:r>
      <w:r>
        <w:rPr>
          <w:rtl w:val="true"/>
        </w:rPr>
        <w:t>כולם במסגרת ההסדר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 xml:space="preserve">מאסר בפועל בן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חודשים בניכוי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 מעצר</w:t>
      </w:r>
      <w:r>
        <w:rPr>
          <w:rtl w:val="true"/>
        </w:rPr>
        <w:t xml:space="preserve">. </w:t>
      </w:r>
      <w:r>
        <w:rPr>
          <w:rtl w:val="true"/>
        </w:rPr>
        <w:t xml:space="preserve">הנאשם יתייצב לריצוי עונשו ביום </w:t>
      </w:r>
      <w:r>
        <w:rPr/>
        <w:t>1.3.11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12:00</w:t>
      </w:r>
      <w:r>
        <w:rPr>
          <w:rtl w:val="true"/>
        </w:rPr>
        <w:t xml:space="preserve"> </w:t>
      </w:r>
      <w:r>
        <w:rPr>
          <w:rtl w:val="true"/>
        </w:rPr>
        <w:t>במזכירות בית 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מאסר על תנאי בן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בו ישא הנאשם אם יעבור בתקופה של שלוש שנים מיום שחרורו עבירת נשק או עבירה הכרוכה בשימוש 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מאסר על תנאי בן חודשיים</w:t>
      </w:r>
      <w:r>
        <w:rPr>
          <w:rtl w:val="true"/>
        </w:rPr>
        <w:t xml:space="preserve">, </w:t>
      </w:r>
      <w:r>
        <w:rPr>
          <w:rtl w:val="true"/>
        </w:rPr>
        <w:t xml:space="preserve">בו ישא הנאשם אם יעבור בתקופה של שנתיים מיום שחרורו עבירה של הפרת הוראה חוקית לפי סעיף </w:t>
      </w:r>
      <w:r>
        <w:rPr/>
        <w:t>287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 xml:space="preserve">קנס כספי בסך </w:t>
      </w:r>
      <w:r>
        <w:rPr/>
        <w:t>3,000</w:t>
      </w:r>
      <w:r>
        <w:rPr>
          <w:rtl w:val="true"/>
        </w:rPr>
        <w:t xml:space="preserve"> ₪, </w:t>
      </w:r>
      <w:r>
        <w:rPr>
          <w:rtl w:val="true"/>
        </w:rPr>
        <w:t>אשר ישולם ב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תשלומים חודשיים עוקבים וזהים החל ביום </w:t>
      </w:r>
      <w:r>
        <w:rPr/>
        <w:t>1.6.11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המוצגים שנתפסו בתיק זה יושמדו בתום המועד החוקי להגשת ערעור</w:t>
      </w:r>
      <w:r>
        <w:rPr>
          <w:rtl w:val="true"/>
        </w:rPr>
        <w:t xml:space="preserve">, </w:t>
      </w:r>
      <w:r>
        <w:rPr>
          <w:rtl w:val="true"/>
        </w:rPr>
        <w:t>ואם יוגש ערעור לאחר פסק הדין בערעור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זכות ערעור לבית המשפט המחוזי בתוך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 xml:space="preserve">'  </w:t>
      </w:r>
      <w:r>
        <w:rPr>
          <w:b/>
          <w:b/>
          <w:bCs/>
          <w:rtl w:val="true"/>
        </w:rPr>
        <w:t>אדר א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24/02/2011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מיכאל קרשן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מיכאל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קרשן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"/>
      <w:footerReference w:type="default" r:id="rId8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2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כ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ס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5362-12-09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סעד אבו ראס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אחר</w:t>
    </w:r>
    <w:r>
      <w:rPr>
        <w:color w:val="000000"/>
        <w:sz w:val="22"/>
        <w:szCs w:val="22"/>
        <w:rtl w:val="true"/>
      </w:rPr>
      <w:t>/</w:t>
    </w:r>
    <w:r>
      <w:rPr>
        <w:color w:val="000000"/>
        <w:sz w:val="22"/>
        <w:sz w:val="22"/>
        <w:szCs w:val="22"/>
        <w:rtl w:val="true"/>
      </w:rPr>
      <w:t>נוסף</w:t>
    </w:r>
    <w:r>
      <w:rPr>
        <w:color w:val="000000"/>
        <w:sz w:val="22"/>
        <w:szCs w:val="22"/>
        <w:rtl w:val="true"/>
      </w:rPr>
      <w:t>)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law_html/law01/073_002.htm" TargetMode="External"/><Relationship Id="rId5" Type="http://schemas.openxmlformats.org/officeDocument/2006/relationships/hyperlink" Target="http://www.nevo.co.il/law_html/law01/073_002.htm" TargetMode="External"/><Relationship Id="rId6" Type="http://schemas.openxmlformats.org/officeDocument/2006/relationships/hyperlink" Target="http://www.nevo.co.il/advertisements/nevo-100.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2011-02-27T08:21:00Z</dcterms:created>
  <dc:creator> </dc:creator>
  <dc:description/>
  <cp:keywords/>
  <dc:language>en-IL</dc:language>
  <cp:lastModifiedBy>eli</cp:lastModifiedBy>
  <dcterms:modified xsi:type="dcterms:W3CDTF">2011-02-27T08:21:00Z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סעד אבו ראס (אחר/נוסף)</vt:lpwstr>
  </property>
  <property fmtid="{D5CDD505-2E9C-101B-9397-08002B2CF9AE}" pid="4" name="CITY">
    <vt:lpwstr>כ"ס</vt:lpwstr>
  </property>
  <property fmtid="{D5CDD505-2E9C-101B-9397-08002B2CF9AE}" pid="5" name="DATE">
    <vt:lpwstr>20110224</vt:lpwstr>
  </property>
  <property fmtid="{D5CDD505-2E9C-101B-9397-08002B2CF9AE}" pid="6" name="JUDGE">
    <vt:lpwstr>מיכאל קרשן</vt:lpwstr>
  </property>
  <property fmtid="{D5CDD505-2E9C-101B-9397-08002B2CF9AE}" pid="7" name="LAWYER">
    <vt:lpwstr>איריס פיקר;בראנסי</vt:lpwstr>
  </property>
  <property fmtid="{D5CDD505-2E9C-101B-9397-08002B2CF9AE}" pid="8" name="NEWPARTA">
    <vt:lpwstr>5362</vt:lpwstr>
  </property>
  <property fmtid="{D5CDD505-2E9C-101B-9397-08002B2CF9AE}" pid="9" name="NEWPARTB">
    <vt:lpwstr>12</vt:lpwstr>
  </property>
  <property fmtid="{D5CDD505-2E9C-101B-9397-08002B2CF9AE}" pid="10" name="NEWPARTC">
    <vt:lpwstr>09</vt:lpwstr>
  </property>
  <property fmtid="{D5CDD505-2E9C-101B-9397-08002B2CF9AE}" pid="11" name="NEWPROC">
    <vt:lpwstr>תפ</vt:lpwstr>
  </property>
  <property fmtid="{D5CDD505-2E9C-101B-9397-08002B2CF9AE}" pid="12" name="PSAKDIN">
    <vt:lpwstr>גזר-דין</vt:lpwstr>
  </property>
  <property fmtid="{D5CDD505-2E9C-101B-9397-08002B2CF9AE}" pid="13" name="RemarkFileName">
    <vt:lpwstr>shalom sh 09 12 5362 627 htm</vt:lpwstr>
  </property>
  <property fmtid="{D5CDD505-2E9C-101B-9397-08002B2CF9AE}" pid="14" name="TYPE">
    <vt:lpwstr>3</vt:lpwstr>
  </property>
  <property fmtid="{D5CDD505-2E9C-101B-9397-08002B2CF9AE}" pid="15" name="TYPE_ABS_DATE">
    <vt:lpwstr>380020110224</vt:lpwstr>
  </property>
  <property fmtid="{D5CDD505-2E9C-101B-9397-08002B2CF9AE}" pid="16" name="TYPE_N_DATE">
    <vt:lpwstr>38020110224</vt:lpwstr>
  </property>
  <property fmtid="{D5CDD505-2E9C-101B-9397-08002B2CF9AE}" pid="17" name="WORDNUMPAGES">
    <vt:lpwstr>3</vt:lpwstr>
  </property>
</Properties>
</file>