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53954-11-22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גיל קרזבום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לוטפי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ורבאן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#1#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ascii="FrankRuehl" w:hAnsi="FrankRuehl" w:cs="FrankRuehl"/>
            <w:color w:val="0000FF"/>
            <w:rtl w:val="true"/>
          </w:rPr>
          <w:t>פרק 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eastAsia="Calibri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 w:eastAsia="Calibri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eastAsia="Calibri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eastAsia="Calibri"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8" w:name="ABSTRACT_START"/>
      <w:bookmarkEnd w:id="8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של נשיאת והובלת נשק – עבירה לפי </w:t>
      </w:r>
      <w:hyperlink r:id="rId21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 xml:space="preserve">רישא </w:t>
      </w:r>
      <w:r>
        <w:rPr>
          <w:rFonts w:eastAsia="David" w:cs="David" w:ascii="David" w:hAnsi="David"/>
          <w:rtl w:val="true"/>
        </w:rPr>
        <w:t xml:space="preserve">+ </w:t>
      </w:r>
      <w:r>
        <w:rPr>
          <w:rFonts w:ascii="David" w:hAnsi="David" w:eastAsia="David"/>
          <w:rtl w:val="true"/>
        </w:rPr>
        <w:t>סיפא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ל</w:t>
      </w:r>
      <w:hyperlink r:id="rId22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ועבירה של ירי מנשק חם 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ascii="David" w:hAnsi="David" w:eastAsia="David"/>
          <w:rtl w:val="true"/>
        </w:rPr>
        <w:t xml:space="preserve">עבירה לפי </w:t>
      </w:r>
      <w:hyperlink r:id="rId23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 שיוטל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8"/>
          <w:szCs w:val="18"/>
        </w:rPr>
      </w:pPr>
      <w:r>
        <w:rPr>
          <w:rFonts w:eastAsia="David" w:cs="David" w:ascii="David" w:hAnsi="David"/>
          <w:sz w:val="18"/>
          <w:szCs w:val="18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 w:before="0" w:after="200"/>
        <w:ind w:firstLine="425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  <w:u w:val="single"/>
        </w:rPr>
      </w:pPr>
      <w:r>
        <w:rPr>
          <w:rFonts w:eastAsia="Calibri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overflowPunct w:val="false"/>
        <w:autoSpaceDE w:val="false"/>
        <w:spacing w:lineRule="auto" w:line="360" w:before="0" w:after="20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28.10.22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20:00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בוצע ירי לעבר שני בני משפחתו של הנאשם בג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סר א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זרקא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ירי שגרם לפציעתם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 xml:space="preserve">בעקבות כך התמקם </w:t>
      </w:r>
      <w:r>
        <w:rPr>
          <w:rFonts w:ascii="David" w:hAnsi="David" w:eastAsia="Calibri"/>
          <w:rtl w:val="true"/>
        </w:rPr>
        <w:t>באזור אירוע הירי</w:t>
      </w:r>
      <w:r>
        <w:rPr>
          <w:rFonts w:ascii="David" w:hAnsi="David" w:eastAsia="Calibri"/>
          <w:rtl w:val="true"/>
        </w:rPr>
        <w:t xml:space="preserve"> כוח משטרתי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sz w:val="20"/>
          <w:sz w:val="20"/>
          <w:rtl w:val="true"/>
        </w:rPr>
        <w:t>באותו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בסמוך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22:00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ואחיו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המנוח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זאהי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הלכו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ברחוב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עומר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rFonts w:ascii="David" w:hAnsi="David"/>
          <w:rtl w:val="true"/>
        </w:rPr>
        <w:t>חטאב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זרקא כשהנאשם נושא ומוביל אקדח חצי אוטומטי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ובתוכו מחסנית </w:t>
      </w:r>
      <w:r>
        <w:rPr>
          <w:rFonts w:ascii="David" w:hAnsi="David" w:eastAsia="Calibri"/>
          <w:rtl w:val="true"/>
        </w:rPr>
        <w:t>טעונה בשני כדורים התואמים לאקדח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וזאהי </w:t>
      </w:r>
      <w:r>
        <w:rPr>
          <w:rFonts w:ascii="David" w:hAnsi="David"/>
          <w:rtl w:val="true"/>
        </w:rPr>
        <w:t xml:space="preserve"> נשא והוביל רובה</w:t>
      </w:r>
      <w:r>
        <w:rPr>
          <w:rFonts w:ascii="David" w:hAnsi="David"/>
          <w:rtl w:val="true"/>
        </w:rPr>
        <w:t xml:space="preserve"> דמוי תת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מקלע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מאולתר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ובתוכו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מחסנית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 טעונה בכדורים התואמים לתת המקלע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בעודם ברחוב באיזור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sz w:val="20"/>
          <w:sz w:val="20"/>
          <w:rtl w:val="true"/>
        </w:rPr>
        <w:t>במהלך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אירוע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שנסיבותיו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אינן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ידועות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למאשימה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התבצע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שזהותם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ידועה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למאשימה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</w:t>
      </w:r>
      <w:r>
        <w:rPr>
          <w:sz w:val="20"/>
          <w:sz w:val="20"/>
          <w:rtl w:val="true"/>
        </w:rPr>
        <w:t>כתוצאה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מהירי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נפצעו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ואחיו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בשלב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באמצעות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האקדח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</w:t>
      </w:r>
      <w:r>
        <w:rPr>
          <w:sz w:val="20"/>
          <w:sz w:val="20"/>
          <w:rtl w:val="true"/>
        </w:rPr>
        <w:t>אחיו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זאהי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כדורים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באמצעות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המקלע</w:t>
      </w:r>
      <w:r>
        <w:rPr>
          <w:sz w:val="20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20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שניים מהשוטרים שהיו באזור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חורי ועליאן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הגיעו לא</w:t>
      </w:r>
      <w:r>
        <w:rPr>
          <w:rFonts w:ascii="David" w:hAnsi="David" w:eastAsia="Calibri"/>
          <w:rtl w:val="true"/>
        </w:rPr>
        <w:t>זור הירי ברכב משטרתי</w:t>
      </w:r>
      <w:r>
        <w:rPr>
          <w:rFonts w:ascii="David" w:hAnsi="David" w:eastAsia="Calibri"/>
          <w:rtl w:val="true"/>
        </w:rPr>
        <w:t xml:space="preserve"> ו</w:t>
      </w:r>
      <w:r>
        <w:rPr>
          <w:rFonts w:ascii="David" w:hAnsi="David" w:eastAsia="Calibri"/>
          <w:rtl w:val="true"/>
        </w:rPr>
        <w:t>הבחינו בנאשם  אוחז בידיו את האקדח ו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 xml:space="preserve">אחיו </w:t>
      </w:r>
      <w:r>
        <w:rPr>
          <w:rFonts w:ascii="David" w:hAnsi="David" w:eastAsia="Calibri"/>
          <w:rtl w:val="true"/>
        </w:rPr>
        <w:t xml:space="preserve"> זאהי </w:t>
      </w:r>
      <w:r>
        <w:rPr>
          <w:rFonts w:ascii="David" w:hAnsi="David" w:eastAsia="Calibri"/>
          <w:rtl w:val="true"/>
        </w:rPr>
        <w:t>אוחז בידיו את תת המקלע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הנאשם אשר הבחין ברכב המשטרתי החל להימלט מהמקום בריצה </w:t>
      </w:r>
      <w:r>
        <w:rPr>
          <w:rtl w:val="true"/>
        </w:rPr>
        <w:t>ו</w:t>
      </w:r>
      <w:r>
        <w:rPr>
          <w:rFonts w:ascii="David" w:hAnsi="David" w:eastAsia="Calibri"/>
          <w:rtl w:val="true"/>
        </w:rPr>
        <w:t>השוטרים נסעו אחרי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השוטר חורי הורה לו לעצור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הנאשם המשיך במנוסתו ואז הסתובב לעבר הרכב המשטרתי בעודו אוחז באקדח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השוטר </w:t>
      </w:r>
      <w:r>
        <w:rPr>
          <w:rFonts w:ascii="David" w:hAnsi="David" w:eastAsia="Calibri"/>
          <w:rtl w:val="true"/>
        </w:rPr>
        <w:t xml:space="preserve">עליאן </w:t>
      </w:r>
      <w:r>
        <w:rPr>
          <w:rFonts w:ascii="David" w:hAnsi="David" w:eastAsia="Calibri"/>
          <w:rtl w:val="true"/>
        </w:rPr>
        <w:t xml:space="preserve">יצא מן הרכב והתקדם לעבר אחיו של הנאשם אשר היה מצוי במצב כריעה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ירה לעברו כדור אחד מנשקו המשטרתי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לאחר שחש סכנה לחייו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 w:before="0" w:after="20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overflowPunct w:val="false"/>
        <w:autoSpaceDE w:val="false"/>
        <w:spacing w:lineRule="auto" w:line="360" w:before="0" w:after="20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הירי שבוצע זמן קצר קודם על ידי האחרים שזהותם אינה ידועה למאשימה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הביא למותו של זאהי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eastAsia="David" w:cs="David"/>
          <w:b/>
          <w:bCs/>
          <w:sz w:val="4"/>
          <w:szCs w:val="4"/>
          <w:u w:val="single"/>
        </w:rPr>
      </w:pPr>
      <w:r>
        <w:rPr>
          <w:rFonts w:eastAsia="David" w:cs="David" w:ascii="David" w:hAnsi="David"/>
          <w:b/>
          <w:bCs/>
          <w:sz w:val="4"/>
          <w:szCs w:val="4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הוגש גיליון הרשעות קודמות של </w:t>
      </w:r>
      <w:r>
        <w:rPr>
          <w:rFonts w:ascii="David" w:hAnsi="David" w:eastAsia="David"/>
          <w:rtl w:val="true"/>
        </w:rPr>
        <w:t xml:space="preserve"> הנאשם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המחוקק עצמו נרתם לצורך בהחמרה</w:t>
      </w:r>
      <w:r>
        <w:rPr>
          <w:rFonts w:ascii="David" w:hAnsi="David" w:eastAsia="Calibri"/>
          <w:rtl w:val="true"/>
        </w:rPr>
        <w:t xml:space="preserve"> בענישה</w:t>
      </w:r>
      <w:r>
        <w:rPr>
          <w:rFonts w:ascii="David" w:hAnsi="David" w:eastAsia="Calibri"/>
          <w:rtl w:val="true"/>
        </w:rPr>
        <w:t xml:space="preserve">  וקבע עונשי מינימום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הדגישה את העובדה שהנאשם לא רק נשא נשק בטבורה של 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אלא </w:t>
      </w:r>
      <w:r>
        <w:rPr>
          <w:rFonts w:ascii="David" w:hAnsi="David" w:eastAsia="Calibri"/>
          <w:rtl w:val="true"/>
        </w:rPr>
        <w:t xml:space="preserve">אף </w:t>
      </w:r>
      <w:r>
        <w:rPr>
          <w:rFonts w:ascii="David" w:hAnsi="David" w:eastAsia="Calibri"/>
          <w:rtl w:val="true"/>
        </w:rPr>
        <w:t>עשה בו שימוש חרף הסיכון הרב הטמון בכך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הקשורות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כי חלקו של הנאשם ה</w:t>
      </w:r>
      <w:r>
        <w:rPr>
          <w:rFonts w:ascii="David" w:hAnsi="David" w:eastAsia="Calibri"/>
          <w:rtl w:val="true"/>
        </w:rPr>
        <w:t>ינו מרכזי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</w:t>
      </w:r>
      <w:r>
        <w:rPr>
          <w:rFonts w:ascii="David" w:hAnsi="David" w:eastAsia="Calibri"/>
          <w:rtl w:val="true"/>
        </w:rPr>
        <w:t>נשא והוביל נשק וכן ירה שני כדורים באמצעות אקדח בסביבת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לא הייתה לנאשם סיבה מוצדקת לבצע את העבירות בשים לב לנזק הרב הצפוי להיגרם מביצוע 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ציינה כי הנאשם הבין את אשר הוא עושה והפסול ב</w:t>
      </w:r>
      <w:r>
        <w:rPr>
          <w:rFonts w:ascii="David" w:hAnsi="David" w:eastAsia="Calibri"/>
          <w:rtl w:val="true"/>
        </w:rPr>
        <w:t>מעשיו</w:t>
      </w:r>
      <w:r>
        <w:rPr>
          <w:rFonts w:ascii="David" w:hAnsi="David" w:eastAsia="Calibri"/>
          <w:rtl w:val="true"/>
        </w:rPr>
        <w:t xml:space="preserve"> ויכול היה להימנע מביצוע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אולם הנאשם לא עשה כן ו</w:t>
      </w:r>
      <w:r>
        <w:rPr>
          <w:rFonts w:ascii="David" w:hAnsi="David" w:eastAsia="Calibri"/>
          <w:rtl w:val="true"/>
        </w:rPr>
        <w:t>נעצר רק לאחר שנורה על ידי אחד השוטרים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עוד טענה כי לא מתקיימת קרבה לאחד הסייגים </w:t>
      </w:r>
      <w:r>
        <w:rPr>
          <w:rFonts w:ascii="David" w:hAnsi="David" w:eastAsia="Calibri"/>
          <w:rtl w:val="true"/>
        </w:rPr>
        <w:t>לאחריות פלילית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וטענה למתחם עונש הולם אשר נע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54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 ועברו הפלילי של הנאשם הכולל הרשעות בעבירות אלימות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לאמץ את מתחם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ולמקם את עונשו של הנאשם במחצית התחתונה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ביקשה להטיל על הנאשם מאסר על תנאי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קנס כספי וכן להורות על חילוט שני הנשקים והמחסניות שנתפסו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לנסיבותיו האישות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 לעובדה כי הוא גדל במשפחה מרובת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>עוני ומצוקה כלכלית בכפר עם אחוז אבטלה גבוה ואחוז בגרות נמוך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כפר שהוא מוכה פשיעה וסמים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הדגיש כי האירוע המתואר בכתב האישום המתוקן הוא תולדה של מסע ירי הכולל אירועים רבים כשהרקע הוא חשיפת שחיתות במועצה על ידי אביו </w:t>
      </w:r>
      <w:r>
        <w:rPr>
          <w:rFonts w:ascii="David" w:hAnsi="David" w:eastAsia="Calibri"/>
          <w:rtl w:val="true"/>
        </w:rPr>
        <w:t xml:space="preserve">של הנאשם </w:t>
      </w:r>
      <w:r>
        <w:rPr>
          <w:rFonts w:ascii="David" w:hAnsi="David" w:eastAsia="Calibri"/>
          <w:rtl w:val="true"/>
        </w:rPr>
        <w:t>במסגרת תפקידו כחבר במועצה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שבעקבותיה </w:t>
      </w:r>
      <w:r>
        <w:rPr>
          <w:rFonts w:ascii="David" w:hAnsi="David" w:eastAsia="Calibri"/>
          <w:rtl w:val="true"/>
        </w:rPr>
        <w:t xml:space="preserve">האב אף </w:t>
      </w:r>
      <w:r>
        <w:rPr>
          <w:rFonts w:ascii="David" w:hAnsi="David" w:eastAsia="Calibri"/>
          <w:rtl w:val="true"/>
        </w:rPr>
        <w:t>נורה וניצל בנס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הנאשם ירה שני כ</w:t>
      </w:r>
      <w:r>
        <w:rPr>
          <w:rFonts w:ascii="David" w:hAnsi="David" w:eastAsia="Calibri"/>
          <w:rtl w:val="true"/>
        </w:rPr>
        <w:t>ד</w:t>
      </w:r>
      <w:r>
        <w:rPr>
          <w:rFonts w:ascii="David" w:hAnsi="David" w:eastAsia="Calibri"/>
          <w:rtl w:val="true"/>
        </w:rPr>
        <w:t xml:space="preserve">ורים באוויר </w:t>
      </w:r>
      <w:r>
        <w:rPr>
          <w:rFonts w:ascii="David" w:hAnsi="David" w:eastAsia="Calibri"/>
          <w:rtl w:val="true"/>
        </w:rPr>
        <w:t>בתגובה ל</w:t>
      </w:r>
      <w:r>
        <w:rPr>
          <w:rFonts w:ascii="David" w:hAnsi="David" w:eastAsia="Calibri"/>
          <w:rtl w:val="true"/>
        </w:rPr>
        <w:t>ירי מ</w:t>
      </w:r>
      <w:r>
        <w:rPr>
          <w:rFonts w:ascii="David" w:hAnsi="David" w:eastAsia="Calibri"/>
          <w:rtl w:val="true"/>
        </w:rPr>
        <w:t>א</w:t>
      </w:r>
      <w:r>
        <w:rPr>
          <w:rFonts w:ascii="David" w:hAnsi="David" w:eastAsia="Calibri"/>
          <w:rtl w:val="true"/>
        </w:rPr>
        <w:t xml:space="preserve">סיבי שבוצע </w:t>
      </w:r>
      <w:r>
        <w:rPr>
          <w:rFonts w:ascii="David" w:hAnsi="David" w:eastAsia="Calibri"/>
          <w:rtl w:val="true"/>
        </w:rPr>
        <w:t xml:space="preserve">לעברו ולעבר אחיו </w:t>
      </w:r>
      <w:r>
        <w:rPr>
          <w:rFonts w:ascii="David" w:hAnsi="David" w:eastAsia="Calibri"/>
          <w:rtl w:val="true"/>
        </w:rPr>
        <w:t>המנוח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והם נאלצו להגיב </w:t>
      </w:r>
      <w:r>
        <w:rPr>
          <w:rFonts w:ascii="David" w:hAnsi="David" w:eastAsia="Calibri"/>
          <w:rtl w:val="true"/>
        </w:rPr>
        <w:t>על מנת להרתיע את היורים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ירי שהיווה סוג </w:t>
      </w:r>
      <w:r>
        <w:rPr>
          <w:rFonts w:ascii="David" w:hAnsi="David" w:eastAsia="Calibri"/>
          <w:rtl w:val="true"/>
        </w:rPr>
        <w:t>של הגנה עצמית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לנזק הרב שנגרם לנאשם והמחיר הכבד ששילם בעקבות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היתר לעובדה </w:t>
      </w:r>
      <w:r>
        <w:rPr>
          <w:rFonts w:ascii="David" w:hAnsi="David" w:eastAsia="Calibri"/>
          <w:rtl w:val="true"/>
        </w:rPr>
        <w:t>ש</w:t>
      </w:r>
      <w:r>
        <w:rPr>
          <w:rFonts w:ascii="David" w:hAnsi="David" w:eastAsia="Calibri"/>
          <w:rtl w:val="true"/>
        </w:rPr>
        <w:t>איבד את אחיו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נורה למוות במהלך האירוע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בהקשר זה ציין כי </w:t>
      </w:r>
      <w:r>
        <w:rPr>
          <w:rFonts w:ascii="David" w:hAnsi="David" w:eastAsia="Calibri"/>
          <w:rtl w:val="true"/>
        </w:rPr>
        <w:t xml:space="preserve"> הנאשם לא </w:t>
      </w:r>
      <w:r>
        <w:rPr>
          <w:rFonts w:ascii="David" w:hAnsi="David" w:eastAsia="Calibri"/>
          <w:rtl w:val="true"/>
        </w:rPr>
        <w:t xml:space="preserve">נכח </w:t>
      </w:r>
      <w:r>
        <w:rPr>
          <w:rFonts w:ascii="David" w:hAnsi="David" w:eastAsia="Calibri"/>
          <w:rtl w:val="true"/>
        </w:rPr>
        <w:t>בהלו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>י</w:t>
      </w:r>
      <w:r>
        <w:rPr>
          <w:rFonts w:ascii="David" w:hAnsi="David" w:eastAsia="Calibri"/>
          <w:rtl w:val="true"/>
        </w:rPr>
        <w:t xml:space="preserve">ת אחיו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ועד היום רצח אחיו לא פוענח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עוד הפנה לנזק הגופני הרב שנגרם לנאשם בעקבות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לכך ש</w:t>
      </w:r>
      <w:r>
        <w:rPr>
          <w:rFonts w:ascii="David" w:hAnsi="David" w:eastAsia="Calibri"/>
          <w:rtl w:val="true"/>
        </w:rPr>
        <w:t>היה מורדם למשך שבועיים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ועד היום </w:t>
      </w:r>
      <w:r>
        <w:rPr>
          <w:rFonts w:ascii="David" w:hAnsi="David" w:eastAsia="Calibri"/>
          <w:rtl w:val="true"/>
        </w:rPr>
        <w:t xml:space="preserve">נותר קליע </w:t>
      </w:r>
      <w:r>
        <w:rPr>
          <w:rFonts w:ascii="David" w:hAnsi="David" w:eastAsia="Calibri"/>
          <w:rtl w:val="true"/>
        </w:rPr>
        <w:t>בבית החזה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וסובל </w:t>
      </w:r>
      <w:r>
        <w:rPr>
          <w:rFonts w:ascii="David" w:hAnsi="David" w:eastAsia="Calibri"/>
          <w:rtl w:val="true"/>
        </w:rPr>
        <w:t>ממגבלות</w:t>
      </w:r>
      <w:r>
        <w:rPr>
          <w:rFonts w:ascii="David" w:hAnsi="David" w:eastAsia="Calibri"/>
          <w:rtl w:val="true"/>
        </w:rPr>
        <w:t xml:space="preserve"> גופניות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לעברו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אין מדובר בעבר מכביד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אשר </w:t>
      </w:r>
      <w:r>
        <w:rPr>
          <w:rFonts w:ascii="David" w:hAnsi="David" w:eastAsia="Calibri"/>
          <w:rtl w:val="true"/>
        </w:rPr>
        <w:t>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וטען למתחם עונש הולם אשר נע בין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 למקם את עונשו של הנאשם ברף התחתון של המתחם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hyperlink r:id="rId24">
        <w:r>
          <w:rPr>
            <w:rStyle w:val="Hyperlink"/>
            <w:rFonts w:ascii="David" w:hAnsi="David" w:eastAsia="David"/>
            <w:rtl w:val="true"/>
          </w:rPr>
          <w:t>פרק 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2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26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-</w:t>
        </w:r>
        <w:r>
          <w:rPr>
            <w:rStyle w:val="Hyperlink"/>
            <w:rFonts w:ascii="David" w:hAnsi="David" w:eastAsia="David"/>
            <w:rtl w:val="true"/>
          </w:rPr>
          <w:t>טו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 w:eastAsia="David"/>
            <w:rtl w:val="true"/>
          </w:rPr>
          <w:t>ס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 הצורך לשמור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>,</w:t>
      </w:r>
      <w:r>
        <w:rPr>
          <w:rFonts w:eastAsia="David" w:cs="David" w:ascii="David" w:hAnsi="David"/>
          <w:rtl w:val="true"/>
          <w:lang w:eastAsia="he-IL"/>
        </w:rPr>
        <w:t xml:space="preserve"> 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</w:t>
      </w:r>
      <w:r>
        <w:rPr>
          <w:rFonts w:ascii="David" w:hAnsi="David" w:eastAsia="David"/>
          <w:rtl w:val="true"/>
          <w:lang w:eastAsia="he-IL"/>
        </w:rPr>
        <w:t xml:space="preserve">על </w:t>
      </w:r>
      <w:r>
        <w:rPr>
          <w:rFonts w:ascii="David" w:hAnsi="David" w:eastAsia="David"/>
          <w:rtl w:val="true"/>
          <w:lang w:eastAsia="he-IL"/>
        </w:rPr>
        <w:t>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2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2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3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3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 xml:space="preserve">) – </w:t>
      </w:r>
      <w:r>
        <w:rPr>
          <w:rFonts w:ascii="David" w:hAnsi="David" w:eastAsia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hyperlink r:id="rId35"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rtl w:val="true"/>
        </w:rPr>
        <w:t>זמן קצר לאחר שבוצע ירי לעבר בני משפחת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 ואחיו הצטיידו בנשקים והלכו ברח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sz w:val="20"/>
          <w:sz w:val="20"/>
          <w:rtl w:val="true"/>
        </w:rPr>
        <w:t>עומר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rFonts w:ascii="David" w:hAnsi="David"/>
          <w:rtl w:val="true"/>
        </w:rPr>
        <w:t>חטאב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נשא </w:t>
      </w:r>
      <w:r>
        <w:rPr>
          <w:rFonts w:ascii="David" w:hAnsi="David" w:eastAsia="Calibri"/>
          <w:rtl w:val="true"/>
        </w:rPr>
        <w:t xml:space="preserve">אקדח חצי אוטומטי מסוג </w:t>
      </w:r>
      <w:r>
        <w:rPr>
          <w:rFonts w:eastAsia="Calibri" w:cs="David" w:ascii="David" w:hAnsi="David"/>
        </w:rPr>
        <w:t>FN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טעון במחסנית ותחמושת תואמת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ואחיו נשא </w:t>
      </w:r>
      <w:r>
        <w:rPr>
          <w:rFonts w:ascii="David" w:hAnsi="David" w:eastAsia="Calibri"/>
          <w:rtl w:val="true"/>
        </w:rPr>
        <w:t>תת מקלע מאולתר</w:t>
      </w:r>
      <w:r>
        <w:rPr>
          <w:rFonts w:ascii="David" w:hAnsi="David" w:eastAsia="Calibri"/>
          <w:rtl w:val="true"/>
        </w:rPr>
        <w:t xml:space="preserve"> טעון במחסנית ותחמושת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בעודם הולכים ברחוב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 xml:space="preserve">ואחיו </w:t>
      </w:r>
      <w:r>
        <w:rPr>
          <w:rFonts w:ascii="David" w:hAnsi="David" w:eastAsia="Calibri"/>
          <w:rtl w:val="true"/>
        </w:rPr>
        <w:t>נורו על ידי אחרים שזהותם אינה ידועה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כתוצאה מהירי עליהם הנאשם ואחיו נפצעו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והם הגיבו בירי של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ירה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כדורים מהאקדח ואחיו ירה </w:t>
      </w: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מתת המקלע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מיד לאחר חילופי הירי הנאשם ואחיו הבחינו במשטרה ו</w:t>
      </w:r>
      <w:r>
        <w:rPr>
          <w:rFonts w:ascii="David" w:hAnsi="David" w:eastAsia="Calibri"/>
          <w:rtl w:val="true"/>
        </w:rPr>
        <w:t>החלו להימלט מהמקום בריצה</w:t>
      </w:r>
      <w:r>
        <w:rPr>
          <w:rFonts w:ascii="David" w:hAnsi="David" w:eastAsia="Calibri"/>
          <w:rtl w:val="true"/>
        </w:rPr>
        <w:t xml:space="preserve"> כשהם אוחזים בנשקם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מסוים</w:t>
      </w:r>
      <w:r>
        <w:rPr>
          <w:rFonts w:ascii="David" w:hAnsi="David" w:eastAsia="Calibri"/>
          <w:rtl w:val="true"/>
        </w:rPr>
        <w:t xml:space="preserve"> הנאשם הסתובב לעבר הרכב המשטרתי בעודו אוחז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והשוטר חורי אשר חש סכנה לחייו ירה לעבר הנאשם כדור אחד מנשקו המשטרתי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overflowPunct w:val="false"/>
        <w:autoSpaceDE w:val="false"/>
        <w:spacing w:lineRule="auto" w:line="360" w:before="0" w:after="200"/>
        <w:ind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כעבור זמן קצר  זאהי אחיו של הנאשם מצא את מותו כתוצאה מהיריות שנורו לעברו על ידי אותם אחרים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יובהר כי פעולותיו של האח זאהי המנוח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קרי נשיאה הובלת תת מקלע  וירי ממנו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אינן מיוחסות לנאשם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חומרה מיוחדת יש בעובדה שהנאשם החזיק את הנשק ועשה בו שימוש באזור מגורים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ורק במזל לא נפגעו  תושבי המקום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על  תוצאותיו הקשות של האירוע ניתן ללמוד ממותו של אחיו המנוח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ובכך יש גם כדי ללמד על פוטנציאל הנזק הקטלני וההרסני באירועי ירי בכלל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ובשכונת מגורים בפרט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חלקו של הנאשם בביצוע העבירות הינו מרכזי והוא יכול היה להימנע מביצוען בכל שלב אך בחר שלא לעשות כן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ואחיו המנוח צעדו ברחוב כשהם מצוידים בנשקים טעונים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והשכונה הפכה לזירת קרב קטלנית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אני ער לעובדה שתחילתו של האירוע בפציעתם  מירי של בני משפחת הנאשם כמה שעות קודם לכן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הדבר לא הצדיק בשום אופן את נשיאת והובלת הנשק על ידי הנאשם ברחובות הישוב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כך גם אין בעובדה שהנאשם הגיב לירי עליו ועל אחיו כדי להוות נסיבה משמעותית לקולה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הצטייד מיוזמתו באקדח טעון במחסנית וכדורים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 w:eastAsia="David"/>
          <w:rtl w:val="true"/>
        </w:rPr>
        <w:t>ויצא לרחובות ג</w:t>
      </w:r>
      <w:r>
        <w:rPr>
          <w:rFonts w:eastAsia="David" w:cs="David" w:ascii="David" w:hAnsi="David"/>
          <w:rtl w:val="true"/>
        </w:rPr>
        <w:t>'</w:t>
      </w:r>
      <w:r>
        <w:rPr>
          <w:rFonts w:ascii="David" w:hAnsi="David" w:eastAsia="David"/>
          <w:rtl w:val="true"/>
        </w:rPr>
        <w:t>סר  עם אחיו שאחז בתת מקלע</w:t>
      </w:r>
      <w:r>
        <w:rPr>
          <w:rFonts w:eastAsia="David"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ואין להתפלא על האופן הטראגי בו האירוע הסתיים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בנסיבות אלו גם לא מתקיימת קרבה לסייג לאחריות פלילית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>".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למרבה הצער שימוש בנשק חם הפך לחזון נפרץ ברחובות ישובים ערביים רבים במדינה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מדובר בתופעה קשה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אכזרית וקטלנית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וחדשות לבקרים אנו מתבשרים על מותם של אזרחים תמימים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עוברי אורח שנקלעו לקו הירי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תעוזתם של העושים שימוש בנשק לצורך פתרון סכסוכים וביצוע 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אינה יודעת גבול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בתי המשפט לתרום את חלקם בהגנה על התושבים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החזקת נשק לא חוקי צפויה להסתיים בשימוש לא חוקי בנשק  ובהקשר זה כבר נאמר 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עבד אלכרים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כאשר המחזיק בו נתון תמיד לחשש שיתפתה לעשות בו שימוש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ולו ברגעי  לחץ ופחד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3300/06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סנינה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10.8.2006</w:t>
      </w:r>
      <w:r>
        <w:rPr>
          <w:rFonts w:cs="David" w:ascii="David" w:hAnsi="David"/>
          <w:b/>
          <w:bCs/>
          <w:rtl w:val="true"/>
        </w:rPr>
        <w:t xml:space="preserve">), 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אבו סנינה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יתר 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במעשיו של המשיב יש משום יסוד של נטילת החוק לידיים תחת הותרת דבר האיומים על חייו לטיפול הגורם המוסמך לכך – משטרת ישראל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זאת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כשאין בידו לדעת כיצד עלולה פרשת האיומים להסתיים אלמלא נתפס הנשק על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ידי המשטרה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התנהלות זו יש בה גם היבט של פגיעה בסדר החברתי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מעבר לעצם יצירת הסיכון לשלום הציבור</w:t>
      </w:r>
      <w:r>
        <w:rPr>
          <w:rFonts w:cs="David" w:ascii="David" w:hAnsi="David"/>
          <w:rtl w:val="true"/>
        </w:rPr>
        <w:t>".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cs="FrankRuehl" w:ascii="FrankRuehl" w:hAnsi="FrankRuehl"/>
          <w:rtl w:val="true"/>
        </w:rPr>
        <w:t>(</w:t>
      </w:r>
      <w:r>
        <w:rPr>
          <w:rFonts w:ascii="David" w:hAnsi="David"/>
          <w:rtl w:val="true"/>
        </w:rPr>
        <w:t>ההדגשות שלי ג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ק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cs="David" w:ascii="David" w:hAnsi="David"/>
          <w:b/>
          <w:bCs/>
          <w:sz w:val="14"/>
          <w:szCs w:val="1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במקרה זה כוחות משטרה הגיעו למקום לאחר הירי על בני משפחת הנאשם ושהו בישוב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והדבר האחרון שהיה על הנאשם לעשות היה ירידה לרחוב עם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פעולה שסיכנה את התושבים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כוחות המשטרה ואת הנאשם עצמו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ascii="David" w:hAnsi="David" w:eastAsia="David"/>
          <w:rtl w:val="true"/>
        </w:rPr>
        <w:t>התוצאות הטראגיות של האירוע ופציעתו הקשה של הנאשם יובאו בחשבון במסגרת קביעת העונש בתוך המתחם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ascii="David" w:hAnsi="David" w:eastAsia="David"/>
          <w:rtl w:val="true"/>
        </w:rPr>
        <w:t xml:space="preserve">במכלול הנסיבות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</w:t>
      </w:r>
      <w:r>
        <w:rPr>
          <w:rFonts w:ascii="David" w:hAnsi="David" w:eastAsia="David"/>
          <w:rtl w:val="true"/>
        </w:rPr>
        <w:t xml:space="preserve"> הינה משמעותית ו</w:t>
      </w:r>
      <w:r>
        <w:rPr>
          <w:rFonts w:ascii="David" w:hAnsi="David" w:eastAsia="David"/>
          <w:rtl w:val="true"/>
        </w:rPr>
        <w:t>מצויה ברף</w:t>
      </w:r>
      <w:r>
        <w:rPr>
          <w:rFonts w:ascii="David" w:hAnsi="David" w:eastAsia="David"/>
          <w:rtl w:val="true"/>
        </w:rPr>
        <w:t xml:space="preserve"> חומרה בינוני עד גבוה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6"/>
          <w:szCs w:val="6"/>
          <w:u w:val="single"/>
        </w:rPr>
      </w:pPr>
      <w:r>
        <w:rPr>
          <w:rFonts w:eastAsia="David" w:cs="David" w:ascii="David" w:hAnsi="David"/>
          <w:b/>
          <w:bCs/>
          <w:sz w:val="6"/>
          <w:szCs w:val="6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בהדרגה</w:t>
      </w:r>
      <w:r>
        <w:rPr>
          <w:rFonts w:eastAsia="David" w:cs="David" w:ascii="David" w:hAnsi="David"/>
          <w:b/>
          <w:bCs/>
          <w:rtl w:val="true"/>
        </w:rPr>
        <w:t>" .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9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rtl w:val="true"/>
        </w:rPr>
        <w:t xml:space="preserve"> </w:t>
      </w:r>
      <w:r>
        <w:rPr>
          <w:rFonts w:eastAsia="David" w:cs="David" w:ascii="David" w:hAnsi="David"/>
          <w:spacing w:val="10"/>
          <w:rtl w:val="true"/>
        </w:rPr>
        <w:t>(</w:t>
      </w:r>
      <w:r>
        <w:rPr>
          <w:rFonts w:ascii="David" w:hAnsi="David" w:eastAsia="David"/>
          <w:spacing w:val="10"/>
          <w:rtl w:val="true"/>
        </w:rPr>
        <w:t>בימ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spacing w:val="10"/>
          <w:rtl w:val="true"/>
        </w:rPr>
        <w:t>ש העליון</w:t>
      </w:r>
      <w:r>
        <w:rPr>
          <w:rFonts w:eastAsia="David" w:cs="David" w:ascii="David" w:hAnsi="David"/>
          <w:spacing w:val="10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נקבע  כי 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6985/20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מטר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נשיאת והחזקת 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וירי מנשק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ובזמן שישב במושב הקדמי של רכב כשבידו תת מקלע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את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פתח את החלון וירה מספר כדורים מבעד לחלון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ב</w:t>
      </w:r>
      <w:r>
        <w:rPr>
          <w:rFonts w:ascii="David" w:hAnsi="David"/>
          <w:rtl w:val="true"/>
        </w:rPr>
        <w:t>צד מאסרים מותנים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במסגרת הערעור הופחת עונשו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בהתחשב בגילו הצעיר ובעברו הנקי של הנאשם</w:t>
      </w:r>
      <w:r>
        <w:rPr>
          <w:rFonts w:cs="David" w:ascii="David" w:hAnsi="David"/>
          <w:rtl w:val="true"/>
        </w:rPr>
        <w:t xml:space="preserve">.   </w:t>
      </w:r>
      <w:r>
        <w:rPr>
          <w:rFonts w:ascii="David" w:hAnsi="David"/>
          <w:rtl w:val="true"/>
        </w:rPr>
        <w:t>ב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נאשם שוהה בלתי חוקי נשא אקדח בשטחי ישראל ונמלט משוטר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צעיר 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הורשע בעבירות נשיאת נשק </w:t>
      </w:r>
      <w:r>
        <w:rPr>
          <w:rFonts w:cs="David" w:ascii="David" w:hAnsi="David"/>
          <w:rtl w:val="true"/>
        </w:rPr>
        <w:t>,</w:t>
      </w:r>
      <w:r>
        <w:rPr>
          <w:rFonts w:ascii="David" w:hAnsi="David"/>
          <w:rtl w:val="true"/>
        </w:rPr>
        <w:t>בעבירת 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ובעבירת כניסה ושהייה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עונשו של הנאשם הוחמר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תוך שנקבע 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בין סורג ובריח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בידאסה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10.05.22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הנאשם הורשע בעבירות של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נשק ביחד עם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הנאשם והאחר החזיקו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נשאו והובילו את הנשקים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ערעור המדינה והחמיר את עונשו של הנאשם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6021/21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עלי עבוד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19.12.2021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נדחה ערעורו של 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שהורשע בנשיאת נשק מסוג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M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והפרעה לשוטר ונדון למאסר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2033/21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זועבי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30.8.2021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נאשם בן </w:t>
      </w:r>
      <w:r>
        <w:rPr>
          <w:rFonts w:cs="David" w:ascii="David" w:hAnsi="David"/>
        </w:rPr>
        <w:t>51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חולה טרשת נפוצה נדון בגין נשיאת שני אקדחים על רקע סכסוך פעיל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למאסר בן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של הנאשם נדחה חרף מצבו הרפואי וסולחה שנערכה בין המשפחות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1658/22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איהאב נח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אש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19.6.2022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נאשם ללא עבר פלילי שהורשע בעבירת נשיאה והובלה של תת מקלע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עוזי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ומחסנית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לטענתו לשם הגנה עצמית ועבר הליך 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למאסר בן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אמיר אבו גאנם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ישראל</w:t>
      </w:r>
      <w:r>
        <w:rPr>
          <w:rFonts w:ascii="David" w:hAnsi="David"/>
          <w:rtl w:val="true"/>
        </w:rPr>
        <w:t xml:space="preserve"> על הנאשם בעל עבר פלילי בעבירות נשק שהורשע בעבירה של נשיאת והובלת אקדח ומחסנית ריקה ברכבו נגזרו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נדחה</w:t>
      </w:r>
      <w:r>
        <w:rPr>
          <w:rFonts w:cs="David" w:ascii="David" w:hAnsi="David"/>
          <w:rtl w:val="true"/>
        </w:rPr>
        <w:t>.</w:t>
      </w:r>
      <w:r>
        <w:rPr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5900/15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מעוז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בעבירות של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 וסיוע להחזקת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שיחד עם אחרים הטמין רובה ומחסנית המכילה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שאחרים ישתמשו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 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יחד עם אחרים נשא הנאשם אקדח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הוטמן על ידו בחורשה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hyperlink r:id="rId4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בעבירה אחת של סיוע לסחר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יחד עם עבירה של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נשיאה והובלת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שהיה מעורב בעסקת 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לאחר הבאת הנשק </w:t>
      </w:r>
      <w:r>
        <w:rPr>
          <w:rFonts w:ascii="David" w:hAnsi="David" w:eastAsia="Calibri"/>
          <w:rtl w:val="true"/>
        </w:rPr>
        <w:t>על ידי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הנשם </w:t>
      </w:r>
      <w:r>
        <w:rPr>
          <w:rFonts w:ascii="David" w:hAnsi="David" w:eastAsia="Calibri"/>
          <w:rtl w:val="true"/>
        </w:rPr>
        <w:t>ירד מהרכב עם הנשק והכניסו לחדר בו בוצעה העסקה</w:t>
      </w:r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בין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קולת העונש התקבל באופן שעונשו הוחמר ל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hyperlink r:id="rId4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1682/22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יאיר סבג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הורשע בעבירות ירי מנשק חם באזור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נשיאה והובלת נשק והחזקת סכין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בצד ענישה נלווית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hyperlink r:id="rId5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6021/21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עלי עבוד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eastAsia="David" w:cs="David" w:ascii="David" w:hAnsi="David"/>
        </w:rPr>
        <w:t>19.12.2021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נדחה ערעורו של 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עבר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שהורשע בנשיאת נשק מסוג </w:t>
      </w:r>
      <w:r>
        <w:rPr>
          <w:rFonts w:eastAsia="David" w:cs="David" w:ascii="David" w:hAnsi="David"/>
        </w:rPr>
        <w:t>16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M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והפרעה לשוטר ונדון למאסר בן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</w:t>
      </w:r>
      <w:hyperlink r:id="rId5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6068/21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אברהים פקיה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הורשע בעבירות של נשיאת נשק וירי מנשק חם באיזור מגורים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נקבע מתחם עונש הולם אשר נע בין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על הנאשם בעל עבר פלילי שריצה ארבעה עונשי מאסר הוטלו  </w:t>
      </w:r>
      <w:r>
        <w:rPr>
          <w:rFonts w:eastAsia="David" w:cs="David" w:ascii="David" w:hAnsi="David"/>
        </w:rPr>
        <w:t>14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וזאת בהתחשב בנסיבותיו האישיות והמלצות שירות המבחן החיוביות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ערעור על קולת העונש התקבל באופן שעונשו של הנאשם הועמד על </w:t>
      </w:r>
      <w:r>
        <w:rPr>
          <w:rFonts w:eastAsia="David" w:cs="David" w:ascii="David" w:hAnsi="David"/>
        </w:rPr>
        <w:t>25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David" w:cs="David" w:ascii="David" w:hAnsi="David"/>
        </w:rPr>
        <w:t>19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60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בפועל והעונשים שהוטלו נעים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50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הפנה למספר פסקי דין כאשר מתחמי הענישה נעים בין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בפועל והעונשים שהוטלו נעים בין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ובצידה של עבירה של ירי בנשק חם באזור מגורים</w:t>
      </w:r>
      <w:r>
        <w:rPr>
          <w:rFonts w:ascii="David" w:hAnsi="David"/>
          <w:rtl w:val="true"/>
        </w:rPr>
        <w:t xml:space="preserve">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בתיקון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ר</w:t>
      </w:r>
      <w:r>
        <w:rPr>
          <w:rFonts w:eastAsia="David" w:cs="David" w:ascii="David" w:hAnsi="David"/>
          <w:b/>
          <w:bCs/>
          <w:rtl w:val="true"/>
        </w:rPr>
        <w:t xml:space="preserve">'  </w:t>
      </w:r>
      <w:hyperlink r:id="rId5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David"/>
          <w:b/>
          <w:b/>
          <w:bCs/>
          <w:u w:val="single"/>
          <w:rtl w:val="true"/>
        </w:rPr>
        <w:t>ישראל פלוני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color w:val="000000"/>
          <w:rtl w:val="true"/>
        </w:rPr>
        <w:t xml:space="preserve"> </w:t>
      </w:r>
      <w:r>
        <w:rPr>
          <w:rFonts w:eastAsia="David"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 w:eastAsia="David"/>
          <w:b/>
          <w:b/>
          <w:bCs/>
          <w:color w:val="000000"/>
          <w:rtl w:val="true"/>
        </w:rPr>
        <w:t>כעולה מפסיקתו של בית משפט זה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David" w:cs="David" w:ascii="David" w:hAnsi="David"/>
          <w:b/>
          <w:bCs/>
          <w:color w:val="000000"/>
        </w:rPr>
        <w:t>30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>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eastAsia="David" w:cs="David" w:ascii="David" w:hAnsi="David"/>
          <w:b/>
          <w:bCs/>
          <w:color w:val="000000"/>
        </w:rPr>
        <w:t>42</w:t>
      </w:r>
      <w:r>
        <w:rPr>
          <w:rFonts w:eastAsia="David"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 w:eastAsia="David"/>
          <w:b/>
          <w:b/>
          <w:bCs/>
          <w:color w:val="000000"/>
          <w:rtl w:val="true"/>
        </w:rPr>
        <w:t xml:space="preserve">חודשי מאסר בין סורג ובריח </w:t>
      </w:r>
      <w:r>
        <w:rPr>
          <w:rFonts w:eastAsia="David"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 w:eastAsia="David"/>
          <w:b/>
          <w:b/>
          <w:bCs/>
          <w:color w:val="000000"/>
          <w:rtl w:val="true"/>
        </w:rPr>
        <w:t>לצד עונשים נלווים בדמותם של מאסר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rtl w:val="true"/>
        </w:rPr>
        <w:t>על</w:t>
      </w:r>
      <w:r>
        <w:rPr>
          <w:rFonts w:eastAsia="David"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 w:eastAsia="David"/>
          <w:b/>
          <w:b/>
          <w:bCs/>
          <w:color w:val="000000"/>
          <w:rtl w:val="true"/>
        </w:rPr>
        <w:t>תנאי וקנס</w:t>
      </w:r>
      <w:r>
        <w:rPr>
          <w:rFonts w:eastAsia="David" w:cs="David" w:ascii="David" w:hAnsi="David"/>
          <w:b/>
          <w:bCs/>
          <w:color w:val="000000"/>
          <w:rtl w:val="true"/>
        </w:rPr>
        <w:t>)</w:t>
      </w:r>
      <w:r>
        <w:rPr>
          <w:rFonts w:eastAsia="David" w:cs="David" w:ascii="David" w:hAnsi="David"/>
          <w:color w:val="000000"/>
          <w:rtl w:val="true"/>
        </w:rPr>
        <w:t>"</w:t>
      </w:r>
      <w:r>
        <w:rPr>
          <w:rFonts w:eastAsia="David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hd w:fill="FFFFFF" w:val="clear"/>
        <w:spacing w:lineRule="auto" w:line="360"/>
        <w:ind w:hanging="360" w:start="720" w:end="0"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ביצוען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כי </w:t>
      </w:r>
      <w:r>
        <w:rPr>
          <w:rFonts w:ascii="David" w:hAnsi="David" w:eastAsia="David"/>
          <w:rtl w:val="true"/>
        </w:rPr>
        <w:t>במקרה זה ה</w:t>
      </w:r>
      <w:r>
        <w:rPr>
          <w:rFonts w:ascii="David" w:hAnsi="David" w:eastAsia="David"/>
          <w:rtl w:val="true"/>
        </w:rPr>
        <w:t>מתחם</w:t>
      </w:r>
      <w:r>
        <w:rPr>
          <w:rFonts w:ascii="David" w:hAnsi="David" w:eastAsia="David"/>
          <w:rtl w:val="true"/>
        </w:rPr>
        <w:t xml:space="preserve"> אותו הציגה המאשימה תואם את הנסיבות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בהתאם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מתחם</w:t>
      </w:r>
      <w:r>
        <w:rPr>
          <w:rFonts w:ascii="David" w:hAnsi="David" w:eastAsia="David"/>
          <w:rtl w:val="true"/>
        </w:rPr>
        <w:t xml:space="preserve"> העונש ההולם </w:t>
      </w:r>
      <w:r>
        <w:rPr>
          <w:rFonts w:ascii="David" w:hAnsi="David" w:eastAsia="David"/>
          <w:rtl w:val="true"/>
        </w:rPr>
        <w:t xml:space="preserve"> צריך לכלול </w:t>
      </w:r>
      <w:r>
        <w:rPr>
          <w:rFonts w:ascii="David" w:hAnsi="David" w:eastAsia="David"/>
          <w:rtl w:val="true"/>
        </w:rPr>
        <w:t>רכיב של מאסר בפועל 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</w:t>
      </w:r>
      <w:r>
        <w:rPr>
          <w:rFonts w:ascii="David" w:hAnsi="David" w:eastAsia="David"/>
          <w:rtl w:val="true"/>
        </w:rPr>
        <w:t xml:space="preserve">ודשים ולא יעלה על </w:t>
      </w:r>
      <w:r>
        <w:rPr>
          <w:rFonts w:eastAsia="David" w:cs="David" w:ascii="David" w:hAnsi="David"/>
        </w:rPr>
        <w:t>54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</w:t>
      </w:r>
      <w:r>
        <w:rPr>
          <w:rFonts w:ascii="David" w:hAnsi="David" w:eastAsia="David"/>
          <w:rtl w:val="true"/>
        </w:rPr>
        <w:t>ודשים בצד עונשים נלווים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before="0" w:after="0"/>
        <w:ind w:end="0"/>
        <w:contextualSpacing/>
        <w:jc w:val="both"/>
        <w:rPr>
          <w:rFonts w:ascii="David" w:hAnsi="David" w:eastAsia="Calibri" w:cs="David"/>
          <w:b/>
          <w:bCs/>
          <w:sz w:val="12"/>
          <w:szCs w:val="12"/>
          <w:u w:val="single"/>
        </w:rPr>
      </w:pPr>
      <w:r>
        <w:rPr>
          <w:rFonts w:eastAsia="Calibri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ascii="David" w:hAnsi="David" w:eastAsia="David"/>
          <w:rtl w:val="true"/>
        </w:rPr>
        <w:t>לקולה אני מביא בחשבון את ההודאה</w:t>
      </w:r>
      <w:r>
        <w:rPr>
          <w:rFonts w:ascii="David" w:hAnsi="David" w:eastAsia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 בכתב האישום המתוקן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גילו הצעיר של הנאשם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>נסיבותיו האישיות כעולה מטיעוני ההגנה</w:t>
      </w:r>
      <w:r>
        <w:rPr>
          <w:rFonts w:eastAsia="David" w:cs="David" w:ascii="David" w:hAnsi="David"/>
          <w:rtl w:val="true"/>
        </w:rPr>
        <w:t xml:space="preserve">; </w:t>
      </w:r>
      <w:r>
        <w:rPr>
          <w:rFonts w:ascii="David" w:hAnsi="David" w:eastAsia="David"/>
          <w:rtl w:val="true"/>
        </w:rPr>
        <w:t xml:space="preserve">תקופת המעצר המשמעותית בה הוא היה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 xml:space="preserve">); </w:t>
      </w:r>
      <w:r>
        <w:rPr>
          <w:rFonts w:ascii="David" w:hAnsi="David" w:eastAsia="David"/>
          <w:rtl w:val="true"/>
        </w:rPr>
        <w:t>השלכות המאסר על הנאשם ומשפחתו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מצבו הרפואי בעקבות האירוע והגבלות הרפואיות מהן הוא סובל בעקבות האירוע כעולה מהמס</w:t>
      </w:r>
      <w:r>
        <w:rPr>
          <w:rFonts w:ascii="David" w:hAnsi="David" w:eastAsia="David"/>
          <w:rtl w:val="true"/>
        </w:rPr>
        <w:t>מכ</w:t>
      </w:r>
      <w:r>
        <w:rPr>
          <w:rFonts w:ascii="David" w:hAnsi="David" w:eastAsia="David"/>
          <w:rtl w:val="true"/>
        </w:rPr>
        <w:t xml:space="preserve">ים הרפואיים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נ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מהם ניתן ללמוד על הפגיעות הקשות מהן הנאשם סבל וסובל עד היום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מקריאת המסמכים הרפואיים ניתן ללמוד כי הנאשם נותר בחיים רק בזכות הטיפול הרפואי שניתן לו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בהקשר זה יצוין כי מאסרו של מי שסובל ממצב רפואי מורכב קשה יותר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גם יינתן משקל לאבדן הכבד שנגרם לנאשם ולמשפחתו כתוצאה מהאירוע בו</w:t>
      </w:r>
      <w:r>
        <w:rPr>
          <w:rFonts w:ascii="David" w:hAnsi="David" w:eastAsia="David"/>
          <w:rtl w:val="true"/>
        </w:rPr>
        <w:t xml:space="preserve"> אחיו מצא את מותו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לחומרה יש להביא בחשבון את עברו הפלילי של הנאשם אשר כולל </w:t>
      </w:r>
      <w:r>
        <w:rPr>
          <w:rFonts w:ascii="David" w:hAnsi="David" w:eastAsia="Calibri"/>
          <w:rtl w:val="true"/>
        </w:rPr>
        <w:t xml:space="preserve">הרשעה </w:t>
      </w:r>
      <w:r>
        <w:rPr>
          <w:rFonts w:ascii="David" w:hAnsi="David" w:eastAsia="Calibri"/>
          <w:rtl w:val="true"/>
        </w:rPr>
        <w:t xml:space="preserve">בעבירה של </w:t>
      </w:r>
      <w:r>
        <w:rPr>
          <w:rFonts w:ascii="David" w:hAnsi="David" w:eastAsia="Calibri"/>
          <w:rtl w:val="true"/>
        </w:rPr>
        <w:t>תקיפת קטין ע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י אחראי ושימוש פחזני באש או בחומר דליק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וכן </w:t>
      </w:r>
      <w:r>
        <w:rPr>
          <w:rFonts w:ascii="David" w:hAnsi="David" w:eastAsia="Calibri"/>
          <w:rtl w:val="true"/>
        </w:rPr>
        <w:t>הרשעה בעבירות של פציעה כשעבריין מזויין ותקיפה סתם על ידי שניים או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שם הוטלו על הנאשם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וענישה נלווית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254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שנכון לגזור על הנאשם עונש מאסר</w:t>
      </w:r>
      <w:r>
        <w:rPr>
          <w:rFonts w:ascii="David" w:hAnsi="David" w:eastAsia="David"/>
          <w:rtl w:val="true"/>
        </w:rPr>
        <w:t xml:space="preserve"> בפועל בין חלקו התחתון של המתחם למרכזו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</w:t>
      </w:r>
      <w:r>
        <w:rPr>
          <w:rFonts w:eastAsia="David" w:cs="David" w:ascii="David" w:hAnsi="David"/>
          <w:b/>
          <w:bCs/>
        </w:rPr>
        <w:t>36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2</w:t>
      </w:r>
      <w:r>
        <w:rPr>
          <w:rFonts w:eastAsia="David" w:cs="David" w:ascii="David" w:hAnsi="David"/>
          <w:b/>
          <w:bCs/>
        </w:rPr>
        <w:t>8</w:t>
      </w:r>
      <w:r>
        <w:rPr>
          <w:rFonts w:eastAsia="David" w:cs="David" w:ascii="David" w:hAnsi="David"/>
          <w:b/>
          <w:bCs/>
        </w:rPr>
        <w:t>.10.22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</w:t>
      </w:r>
      <w:r>
        <w:rPr>
          <w:rFonts w:ascii="David" w:hAnsi="David" w:eastAsia="David"/>
          <w:b/>
          <w:b/>
          <w:bCs/>
          <w:rtl w:val="true"/>
        </w:rPr>
        <w:t xml:space="preserve">עוון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>אני גוזר על הנאשם קנס כספי בסך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</w:rPr>
        <w:t>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60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>הקנס שהוטל על הנאשם  ישולם עד ליום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</w:rPr>
        <w:t>01.01.2024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54">
        <w:r>
          <w:rPr>
            <w:rStyle w:val="Hyperlink"/>
            <w:rFonts w:eastAsia="David" w:cs="David" w:ascii="David" w:hAnsi="David"/>
            <w:color w:val="0563C1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>אני מורה על חילוט הנשקים והמחסניות שנתפסו במסגרת תיק זה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eastAsia="Calibri" w:cs="Arial"/>
          <w:color w:val="FFFFFF"/>
          <w:sz w:val="2"/>
          <w:szCs w:val="2"/>
        </w:rPr>
      </w:pPr>
      <w:r>
        <w:rPr>
          <w:rFonts w:eastAsia="Calibri" w:cs="Arial" w:ascii="Calibri" w:hAnsi="Calibri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53954-11-22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לוטפי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ורבאן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a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e" TargetMode="External"/><Relationship Id="rId8" Type="http://schemas.openxmlformats.org/officeDocument/2006/relationships/hyperlink" Target="http://www.nevo.co.il/law/70301/40f" TargetMode="External"/><Relationship Id="rId9" Type="http://schemas.openxmlformats.org/officeDocument/2006/relationships/hyperlink" Target="http://www.nevo.co.il/law/70301/40g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40j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40a.b.1" TargetMode="External"/><Relationship Id="rId15" Type="http://schemas.openxmlformats.org/officeDocument/2006/relationships/hyperlink" Target="http://www.nevo.co.il/law/70301/40if" TargetMode="External"/><Relationship Id="rId16" Type="http://schemas.openxmlformats.org/officeDocument/2006/relationships/hyperlink" Target="http://www.nevo.co.il/law/70301/40ja" TargetMode="External"/><Relationship Id="rId17" Type="http://schemas.openxmlformats.org/officeDocument/2006/relationships/hyperlink" Target="http://www.nevo.co.il/law/70301/40jb" TargetMode="External"/><Relationship Id="rId18" Type="http://schemas.openxmlformats.org/officeDocument/2006/relationships/hyperlink" Target="http://www.nevo.co.il/law/70301/40jc" TargetMode="External"/><Relationship Id="rId19" Type="http://schemas.openxmlformats.org/officeDocument/2006/relationships/hyperlink" Target="http://www.nevo.co.il/law/70301/40jd" TargetMode="External"/><Relationship Id="rId20" Type="http://schemas.openxmlformats.org/officeDocument/2006/relationships/hyperlink" Target="http://www.nevo.co.il/law/70301/fCa1S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40a.b.1" TargetMode="External"/><Relationship Id="rId24" Type="http://schemas.openxmlformats.org/officeDocument/2006/relationships/hyperlink" Target="http://www.nevo.co.il/law/70301/fCa1S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a;40b;40c;40d;40e;40f;40g;40h;40i;40j;40ja;40jb;40jc;40jd;40if" TargetMode="External"/><Relationship Id="rId27" Type="http://schemas.openxmlformats.org/officeDocument/2006/relationships/hyperlink" Target="http://www.nevo.co.il/law/70301/40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7894608" TargetMode="External"/><Relationship Id="rId30" Type="http://schemas.openxmlformats.org/officeDocument/2006/relationships/hyperlink" Target="http://www.nevo.co.il/case/28152132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601503" TargetMode="External"/><Relationship Id="rId33" Type="http://schemas.openxmlformats.org/officeDocument/2006/relationships/hyperlink" Target="http://www.nevo.co.il/case/6034921" TargetMode="External"/><Relationship Id="rId34" Type="http://schemas.openxmlformats.org/officeDocument/2006/relationships/hyperlink" Target="http://www.nevo.co.il/case/26913995" TargetMode="External"/><Relationship Id="rId35" Type="http://schemas.openxmlformats.org/officeDocument/2006/relationships/hyperlink" Target="http://www.nevo.co.il/case/5762686" TargetMode="External"/><Relationship Id="rId36" Type="http://schemas.openxmlformats.org/officeDocument/2006/relationships/hyperlink" Target="http://www.nevo.co.il/case/7791493" TargetMode="External"/><Relationship Id="rId37" Type="http://schemas.openxmlformats.org/officeDocument/2006/relationships/hyperlink" Target="http://www.nevo.co.il/case/5887664" TargetMode="External"/><Relationship Id="rId38" Type="http://schemas.openxmlformats.org/officeDocument/2006/relationships/hyperlink" Target="http://www.nevo.co.il/case/6473037" TargetMode="External"/><Relationship Id="rId39" Type="http://schemas.openxmlformats.org/officeDocument/2006/relationships/hyperlink" Target="http://www.nevo.co.il/case/6950458" TargetMode="External"/><Relationship Id="rId40" Type="http://schemas.openxmlformats.org/officeDocument/2006/relationships/hyperlink" Target="http://www.nevo.co.il/case/27063216" TargetMode="External"/><Relationship Id="rId41" Type="http://schemas.openxmlformats.org/officeDocument/2006/relationships/hyperlink" Target="http://www.nevo.co.il/case/28883087" TargetMode="External"/><Relationship Id="rId42" Type="http://schemas.openxmlformats.org/officeDocument/2006/relationships/hyperlink" Target="http://www.nevo.co.il/case/28243273" TargetMode="External"/><Relationship Id="rId43" Type="http://schemas.openxmlformats.org/officeDocument/2006/relationships/hyperlink" Target="http://www.nevo.co.il/case/27911655" TargetMode="External"/><Relationship Id="rId44" Type="http://schemas.openxmlformats.org/officeDocument/2006/relationships/hyperlink" Target="http://www.nevo.co.il/case/27494821" TargetMode="External"/><Relationship Id="rId45" Type="http://schemas.openxmlformats.org/officeDocument/2006/relationships/hyperlink" Target="http://www.nevo.co.il/case/28380863" TargetMode="External"/><Relationship Id="rId46" Type="http://schemas.openxmlformats.org/officeDocument/2006/relationships/hyperlink" Target="http://www.nevo.co.il/case/28722692" TargetMode="External"/><Relationship Id="rId47" Type="http://schemas.openxmlformats.org/officeDocument/2006/relationships/hyperlink" Target="http://www.nevo.co.il/case/21472954" TargetMode="External"/><Relationship Id="rId48" Type="http://schemas.openxmlformats.org/officeDocument/2006/relationships/hyperlink" Target="http://www.nevo.co.il/case/28697227" TargetMode="External"/><Relationship Id="rId49" Type="http://schemas.openxmlformats.org/officeDocument/2006/relationships/hyperlink" Target="http://www.nevo.co.il/case/28384638" TargetMode="External"/><Relationship Id="rId50" Type="http://schemas.openxmlformats.org/officeDocument/2006/relationships/hyperlink" Target="http://www.nevo.co.il/case/27911655" TargetMode="External"/><Relationship Id="rId51" Type="http://schemas.openxmlformats.org/officeDocument/2006/relationships/hyperlink" Target="http://www.nevo.co.il/case/27915710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28883087" TargetMode="External"/><Relationship Id="rId54" Type="http://schemas.openxmlformats.org/officeDocument/2006/relationships/hyperlink" Target="http://www.eca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numbering" Target="numbering.xm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2024-08-26T14:17:00Z</dcterms:created>
  <dc:creator> </dc:creator>
  <dc:description/>
  <cp:keywords/>
  <dc:language>en-IL</dc:language>
  <cp:lastModifiedBy>h1</cp:lastModifiedBy>
  <dcterms:modified xsi:type="dcterms:W3CDTF">2024-08-26T14:17:00Z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לוטפי ג'ורבאן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27894608;28152132;5601503;6034921;26913995;5762686;7791493;5887664;6473037;6950458;27063216;28883087:2;28243273;27911655:2;27494821;28380863;28722692;21472954;28697227;28384638;27915710</vt:lpwstr>
  </property>
  <property fmtid="{D5CDD505-2E9C-101B-9397-08002B2CF9AE}" pid="9" name="CITY">
    <vt:lpwstr>חי'</vt:lpwstr>
  </property>
  <property fmtid="{D5CDD505-2E9C-101B-9397-08002B2CF9AE}" pid="10" name="DATE">
    <vt:lpwstr>20230705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גיל קרזבום</vt:lpwstr>
  </property>
  <property fmtid="{D5CDD505-2E9C-101B-9397-08002B2CF9AE}" pid="14" name="LAWLISTTMP1">
    <vt:lpwstr>70301/144.b;340a.b.1;fCa1S;040a:2;040b;040c;040d;040e;040f;040g;040h;040i;040j;40ja;40jb;40jc;40jd;40if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53954</vt:lpwstr>
  </property>
  <property fmtid="{D5CDD505-2E9C-101B-9397-08002B2CF9AE}" pid="22" name="NEWPARTB">
    <vt:lpwstr>11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390020230705</vt:lpwstr>
  </property>
  <property fmtid="{D5CDD505-2E9C-101B-9397-08002B2CF9AE}" pid="34" name="TYPE_N_DATE">
    <vt:lpwstr>39020230705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