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9"/>
        <w:gridCol w:w="3660"/>
        <w:gridCol w:w="83"/>
      </w:tblGrid>
      <w:tr>
        <w:trPr>
          <w:trHeight w:val="418" w:hRule="exact"/>
        </w:trPr>
        <w:tc>
          <w:tcPr>
            <w:tcW w:w="8719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54202-01-23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מנגיסטו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19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 חנה מרים לומפ</w:t>
            </w:r>
          </w:p>
        </w:tc>
        <w:tc>
          <w:tcPr>
            <w:tcW w:w="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שי עציון</w:t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עמנואל מנגיסטו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מיכאל עירוני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hanging="284"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וחילוט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המבצעים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וביטחונו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ורכושו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ומניעת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הגלומה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בנפש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וברכוש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לסוחרים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להחמיר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בענישתם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בפרט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בבחינת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ומגמת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50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בשקלול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וחילוט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auto" w:line="360"/>
        <w:ind w:hanging="284"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hanging="284"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רקע</w:t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אישום מתוקן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בשתי עבירות של סחר בנשק לפי 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ובעבירה של נשיאת נשק 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בצירוף סעיף </w:t>
      </w:r>
      <w:hyperlink r:id="rId12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/>
      </w:pPr>
      <w:r>
        <w:rPr>
          <w:rFonts w:ascii="Arial" w:hAnsi="Arial" w:cs="Arial"/>
          <w:rtl w:val="true"/>
        </w:rPr>
        <w:t>במסגרת הסדר הטיעון לא הייתה הסכמה בין הצדדים לעניין העונש וכל צד נותר חופשי בטיעוניו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הטיעונים לעונש נדחו עד לאחר קבלת תסקיר שירות המבחן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כנדרש על פי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rtl w:val="true"/>
        </w:rPr>
        <w:t>החלק הכללי ל</w:t>
      </w:r>
      <w:r>
        <w:rPr>
          <w:rFonts w:ascii="Arial" w:hAnsi="Arial" w:cs="Arial"/>
          <w:rtl w:val="true"/>
        </w:rPr>
        <w:t>כתב האישום המתוקן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במועדים הרלוונטיים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הפעילה משטרת ישראל שוטר כסוכן סמוי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הסוכן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וזאת במסגרת פעילותה במאבק בתופעת הסחר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סחר והפצת סמים מסוכנים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במועדים הרלוונטיים לכתב האישום פעל הסוכן בשליחות משטרת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בהוראתה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באישורה ובמימונה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rtl w:val="true"/>
        </w:rPr>
        <w:t>האישום הראשון ל</w:t>
      </w:r>
      <w:r>
        <w:rPr>
          <w:rFonts w:ascii="Arial" w:hAnsi="Arial" w:cs="Arial"/>
          <w:rtl w:val="true"/>
        </w:rPr>
        <w:t>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בתקופה הרלוונטית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הנאשם חבר בקבוצת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נשקים כלים אקדחים תחמושת רימו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כך במקור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ביישומון הטלגרם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הקבוצה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שבה חברים אנשים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פרסם הנאשם בקבוצה הודעה על מכירת כדורי תחמושת ורימוני הלם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17:37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שלח הסוכן הודעה באמצעות הטלגרם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וביקש לרכוש שלושה רימוני הלם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הרימונים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 והסוכן התמקחו ביניהם על המחיר ולא הגיעו להסכמות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9.11.22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הנאשם לסוכן והציע למכור את שלושת הרימונים תמורת </w:t>
      </w:r>
      <w:r>
        <w:rPr>
          <w:rFonts w:cs="Arial" w:ascii="Arial" w:hAnsi="Arial"/>
        </w:rPr>
        <w:t>2,200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בתנאי שהסוכן יגיע באותו היום לתלפיות לאסוף את הרימונים ולאחר דין ודברים הגיעו הסוכן והנאשם להסכמה שהעסקה תבוצע למחר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10:45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הסוכן לנאשם וביקש לבצע את העסקה במבשרת ציון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דרש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תוספת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והסוכן סיכמו את המחיר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מועד ביצוע העסקה ואת מקום ביצוע העסקה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רחוב השקד במבשרת ציון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אותו היום בשעה </w:t>
      </w:r>
      <w:r>
        <w:rPr>
          <w:rFonts w:cs="Arial" w:ascii="Arial" w:hAnsi="Arial"/>
        </w:rPr>
        <w:t>14:00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 הנאשם שלושה רימוני הלם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תוצרת חברת </w:t>
      </w:r>
      <w:r>
        <w:rPr>
          <w:rFonts w:cs="Arial" w:ascii="Arial" w:hAnsi="Arial"/>
        </w:rPr>
        <w:t>CTS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משכונת תלפיות בירושלים ועד לרחוב השקד במבשרת ציון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15:08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הנאשם לסוכן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rtl w:val="true"/>
        </w:rPr>
        <w:t>ואמר לו שהוא הגיע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פגש את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ומסר לו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רימוני הלם תמורת </w:t>
      </w:r>
      <w:r>
        <w:rPr>
          <w:rFonts w:cs="Arial" w:ascii="Arial" w:hAnsi="Arial"/>
        </w:rPr>
        <w:t>1,600</w:t>
      </w:r>
      <w:r>
        <w:rPr>
          <w:rFonts w:cs="Arial" w:ascii="Arial" w:hAnsi="Arial"/>
          <w:rtl w:val="true"/>
        </w:rPr>
        <w:t xml:space="preserve"> ₪.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על פי עובדות </w:t>
      </w:r>
      <w:r>
        <w:rPr>
          <w:rFonts w:ascii="Arial" w:hAnsi="Arial" w:cs="Arial"/>
          <w:rtl w:val="true"/>
        </w:rPr>
        <w:t>האישום השני ל</w:t>
      </w:r>
      <w:r>
        <w:rPr>
          <w:rFonts w:ascii="Arial" w:hAnsi="Arial" w:cs="Arial"/>
          <w:rtl w:val="true"/>
        </w:rPr>
        <w:t>כתב האישום 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27.11.22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הסוכן לנאשם וביקש לרכוש רימון הלם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28.11.22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השיב הנאשם לסוכן ולאחר התמקחות הגיעו להסכמה לגבי המחיר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29.11.22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הנאשם לסוכן על מנת לקדם את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והסוכן סיכמו על מקום ביצוע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30.11.22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הנאשם לסוכן על מנת לקדם את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והסוכן סיכמו על ביצוע העסקה בסמוך לתחנה מרכזית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הוביל הנאשם רימון הלם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מסוג </w:t>
      </w:r>
      <w:r>
        <w:rPr>
          <w:rFonts w:cs="Arial" w:ascii="Arial" w:hAnsi="Arial"/>
        </w:rPr>
        <w:t>CTS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מדרך חברון </w:t>
      </w:r>
      <w:r>
        <w:rPr>
          <w:rFonts w:cs="Arial" w:ascii="Arial" w:hAnsi="Arial"/>
        </w:rPr>
        <w:t>127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סמוך לתחנה מרכזית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והסוכן נפגשו בפינת הרחובות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הצבי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מאסף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והנאשם מסר את רימון ההלם תמורת </w:t>
      </w:r>
      <w:r>
        <w:rPr>
          <w:rFonts w:cs="Arial" w:ascii="Arial" w:hAnsi="Arial"/>
        </w:rPr>
        <w:t>800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hanging="284" w:end="0"/>
        <w:jc w:val="star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מתסקיר שירות המבחן מיום </w:t>
      </w:r>
      <w:r>
        <w:rPr>
          <w:rFonts w:cs="Arial" w:ascii="Arial" w:hAnsi="Arial"/>
        </w:rPr>
        <w:t>3.9.23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טרם מעצרו התגורר עם הורי חברתו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בבר וכטבח במסעדה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משפחת מוצאו מונה זוג הורים ושלושה ילדים בגילאי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הוא השלישי בסדר הלידה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הוריו עלו ארצה בשנות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מאתיופיה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התגרשו ושניים מאחיו הבוגרים התגוררו עם האב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ניתק את הקשר עם הנאשם מאז לידתו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שמר על קשר עם אחיו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חש חווית נטישה מצד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ואמו מתוארת על ידו כאישה קשת יום העובדת כמט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וקוסמטיקאית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 סובלת מבעיות נוספות שלא ארחיב עליהן בשל צנעת הפרט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הוצא הנאשם מבית אמו בצו בית משפט בשל בעיות אלה והנאשם הועבר לפנימית בית הילד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לקראת המעבר לכיתה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עבר להתגורר בבית דודיו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ובהמשך אצל משפחת אמנה ביישוב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זית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שם שהה עד גיל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הוחזר לבית אמו לירושלים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אמו ניהלה מערכת יחסים זוגית עם פליט אריתראי ממנה נולדו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בנות נוספות בגילאי 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בן זוגה של אמו נפרד ממנה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ואמו מגדלת את הבנות לבדה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סייע לאמו בטיפול באחיותיו הצעירות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 תפקידו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ילד הורי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התקשה לנהל עצמו לבדו והגיע לעיתים מוזנח לבית הספר ומצבו הלימודי היה ירוד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הוחלט עת היה בן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להשיבו למשפחת האמנה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התקשה להשתלב מחדש במשפחת האמנה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להיעדר מלימודיו ולשוטט ברחוב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ועלה חשד לשימוש בחומרים ממכרים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עזב מיוזמתו את בית משפחת האמנה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ושב להתגורר עם אמו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עבירת פריצה לרכב הופנה על ידי בית משפט לשירות המבחן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ועבר ללמוד ולהתגורר בכפר הנוער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נירים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במסגרת אותו תיק ביצע הנאשם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ללא תעודת בגרות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סיום לימודיו עבר להתגורר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לעבוד בבר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התגורר עם בת זוגו באילת ושם עבד בתחנת דלק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 חזר להתגורר בירושלים וסייע להורי בת זוגתו כלכלית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החל מגיל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נחשף לשימוש בקנביס ובאלכוהול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כפר הנוער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נירים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הועבר לתהליך טיפולי בקהילה סגורה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אפיק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מלכישוע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בה שהה עד גיל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 הנאשם הוא אינו משתמש בחומרים אלה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באותה תקופה עבד בבר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מחבריו פנה אליו וסיפר שהסתכסך עם גורמים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שישיג לו רימוני הלם תמורת תשלום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הלחץ הכלכלי בו היה נתון הוא נענה לבקשה לצורך השגת כסף קל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שהשיג את הרימונים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חבר אמר שהוא אינו זקוק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החליט לסחור בהם באמצעות יישומון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טלגרם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הנאשם הביע חרטה על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התרשם שהוא מבין את הסכנות הכרוכות בהן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להערכת הסיכון והסיכוי לשיקום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שירות המבחן התרשם מנאשם צעיר שעבר דרך משמעותית במוסד החינוכי בו למד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 פעולה עם שירות המבחן לנוער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וסיים טיפול בגמילה בקהילת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מלכישוע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הנאשם הביע חרטה על מעשיו ומבין את הסכנות הכרוכות בהן ואף הביע נכונות להשתלב בטיפול במסגרת המעצר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לנאשם רקע משפחתי מורכב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לו עורף 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גדל בצד הזנחה פיזית ונפשית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מדפוסי התנהגות ילדותיים וקושי בהצבת גבולות למרות התהליך הטיפולי שעבר כנער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התרשם שירות המבחן שהנאשם הושפע מחברה שולית ונוטה לטשטש את מעורבותו העבריינית ואת התמכרותו לחומרים ממכרים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שהנאשם זקוק לגבול חיצוני מרתיע וברור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הומלץ על ענישה מוחשית בדמות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שירות המבחן להתחשב בגילו הצעיר ובנסיבות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כי הנאשם ישולב בטיפול המותאם לצרכיו במסגרת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284"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טיעונים לעונש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הורשע בשני אישומים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מכר רימוני הלם לסוכן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 באישום הראשון הוא הורשע גם בעבירה של נשיאת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מעובדות כתב האישום המתוקן ניתן ללמוד על מעורבותו העמוקה של הנאשם בעולם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 כך שהנאשם היה חבר בקבוצות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טלגרם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העוסקות בתחום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קבוצות העוסקות במכירה של כל סוגי הנשק ולא רק רימוני הלם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ציין את חומרתן הרבה של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הצורך במאבק בלתי מתפשר בהן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לסוג הנשק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שאמנם אין מדובר ברימוני רסס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גם לסחר ברימוני הלם יש לתת יחס מחמיר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 פסיקה התומכת בטענותיו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למתחם עונש הולם באישום הראשון הנע בין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ובאישום השני למתחם עונש הולם הנע בין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העונש הכולל יחפוף באופן מסוים בין המתחמים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לעונש המתאים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לקחת בחשבון את הצורך בשליחת מסר מרתיע לכלל הציבור ולנאשם בפרט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האמור בתסקיר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שלנאשם אין עבר פלילי סבר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שאין למקמו בתחתית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בשליש התחתון של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 להשית על הנאשם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תיתן ביטוי לענישה צופה פני 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ענישה כלכלית שתביא בחשבון את המניעים הכלכליים העומדים בבסיס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שהגם שיש צורך להחמיר בענישה 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להתייחס לנסיבות הספציפיות של עבירה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לנסיבותיו האישיות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שעלה מתסקיר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נסיבותיו האישיות של הנאשם אינן פשוטות ועונות על ההגדרה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עלובי החיים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הנאשם הועבר בילדותו ממקום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היתה לו משפחה תומכת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ובעת האחרונה התחזק הקשר עם משפחת האמנה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בשעה שהיה עצור עד תום ההליכים הוא יצא לחתונת בת משפחת האמנה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והדבר הוביל לחיזוק נוסף של הקשר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עצור למשך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ומשפחת האמנה תומכת בו והוא מתקרב כעת למקורות החיוביים שהיו לו בחיים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 עבד הנאשם כטבח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ולדברי בא 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עבר את העבירה כסוחר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כאדם שנשלח לבצע מסירות תמורת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לכל מסירה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לעיתים כאשר אדם מגיע לפת לחם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וצריך להחזיק בית לבדו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מתפתה לעבור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שלמרות שלא ניתן להסכים עם המעשים שעשה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להבינם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מדובר במי שיש לו קווי אישיות 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מדובר במי שביצע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כן לא ניתן להעביר על גבו מסר מחמיר לציבור הישראלי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לקח אחריות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הרימונים נמכרו לסוכן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לא נגרם נזק בפועל וגם הנזק הפוטנציאלי אינו קיים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שרימון הלם אינו במדרג חומרה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הציג פסיקה לפיה גם במקרים של השלכת רימוני הלם לעבר בתים נדונו נאשמים לעונשי מאסר שרוצו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הציג פסיקה של אדם שנדון לעונש של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בשל החזקת רימון הלם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 הייתה לנאשם מעטפת תומכת הוא היה משתחרר ועובר הליך של שיקום והמלצה בעניינו היתה אחרת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למתחמים שעתרה להם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שהם מחמירים מאוד ואינם תואמים את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והגיש פסיקה ותמיכה בטענותיו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לנסיבותיו של הנאשם הדגיש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שמדובר בצעיר נעדר עבר פלילי אשר לקח אחריות מלאה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התחרט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לו תמיכה משפחתית ולכן כל יום במאסר קשה לו מאדם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ונסיבות חייו קשות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סבר שיש לקבוע מתחם עונש הולם שנע בין מאסר שירוצה בעבודות שירות ועד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ולהשית על הנאשם 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בדבריו האחרונים לקח אחריות למעשיו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תיאר את הקושי בגיל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כשיצא מהמסגרת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היה לו היכן להיות וביקש עזרה משירותי הרווחה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קיבל סיוע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גם הופסק הטיפול עם העובדת הסוציאלית בקהילה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הגיע לביצוע העבירה כאשר לא 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ולדבריו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נפל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לאותה סיטואציה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הדגיש שהוא אינו עבריין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וזה לא המקום שהוא רוצה ללכת אליו בחיים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284"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hanging="284"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</w:rPr>
      </w:pPr>
      <w:r>
        <w:rPr>
          <w:rFonts w:ascii="David" w:hAnsi="David"/>
          <w:shd w:fill="FFFFFF" w:val="clear"/>
          <w:rtl w:val="true"/>
        </w:rPr>
        <w:t xml:space="preserve">בהתאם לאמור </w:t>
      </w:r>
      <w:hyperlink r:id="rId13">
        <w:r>
          <w:rPr>
            <w:rStyle w:val="Hyperlink"/>
            <w:rFonts w:ascii="David" w:hAnsi="David"/>
            <w:shd w:fill="FFFFFF" w:val="clear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hd w:fill="FFFFFF" w:val="clear"/>
          </w:rPr>
          <w:t>40</w:t>
        </w:r>
        <w:r>
          <w:rPr>
            <w:rStyle w:val="Hyperlink"/>
            <w:rFonts w:ascii="David" w:hAnsi="David"/>
            <w:shd w:fill="FFFFFF" w:val="clear"/>
            <w:rtl w:val="true"/>
          </w:rPr>
          <w:t>ב</w:t>
        </w:r>
        <w:r>
          <w:rPr>
            <w:rStyle w:val="Hyperlink"/>
            <w:rFonts w:cs="David" w:ascii="David" w:hAnsi="David"/>
            <w:shd w:fill="FFFFFF" w:val="clear"/>
            <w:rtl w:val="true"/>
          </w:rPr>
          <w:t>'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לחוק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העיקרון המנחה בענישה הוא עיקרון ההלימה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קרי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: </w:t>
      </w:r>
      <w:r>
        <w:rPr>
          <w:rFonts w:ascii="David" w:hAnsi="David"/>
          <w:color w:val="000000"/>
          <w:shd w:fill="FFFFFF" w:val="clear"/>
          <w:rtl w:val="true"/>
        </w:rPr>
        <w:t>יחס הולם בין חומרת מעשה העבירה ונסיבותיו ומידת אשמו של הנאשם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לבין סוג ומידת העונש המוטל עליו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בעת קביעת מתחם העונש ההולם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על בית המשפט להתחשב בערך החברתי שנפגע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במידת הפגיעה בו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במדיניות הענישה הנוהגת ובנסיבות הקשורות לביצוע העבירה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spacing w:lineRule="auto" w:line="360"/>
        <w:ind w:start="425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ההגנה על שלום הציבור וביטחונו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ידי מי שאינו מיומן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לסוחרים בנשק הדגיש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לראות במשנה חומרה את מעשיהם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יש להחמיר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בענישתם של נאשמים שהורשעו בעבירות נשק בכלל ובעבירות סחר בנשק בפרט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319/11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יאסין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5.12.11</w:t>
      </w:r>
      <w:r>
        <w:rPr>
          <w:rFonts w:cs="David" w:ascii="David" w:hAnsi="David"/>
          <w:rtl w:val="true"/>
        </w:rPr>
        <w:t xml:space="preserve">),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1768/14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גנאיים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22.7.14</w:t>
      </w:r>
      <w:r>
        <w:rPr>
          <w:rFonts w:cs="David" w:ascii="David" w:hAnsi="David"/>
          <w:rtl w:val="true"/>
        </w:rPr>
        <w:t xml:space="preserve">),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7317/13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19.5.14</w:t>
      </w:r>
      <w:r>
        <w:rPr>
          <w:rFonts w:cs="David" w:ascii="David" w:hAnsi="David"/>
          <w:rtl w:val="true"/>
        </w:rPr>
        <w:t xml:space="preserve">),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8280/15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גולאני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28.3.16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על עוצמת הערך המוגן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ללמוד מכך שהעונש המֵרבי הקבוע לצד עבירת הסחר בנשק עומד על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הנשק ובעיקר סחר בלתי 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עלולות להביא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לביצוע עבירות שלצדן אלימות 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חלילה לקיפוד חיי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עלול להיגרם נזק גדול לביטחון המדינה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כבכל 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בעבירות נשק קיים מדרג של 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ושומה 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 המשפט להביאו בחשבון בבואו לקבוע את מתחם העונש ההולם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אלוליאיה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</w:rPr>
        <w:t>13.9.17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תפיסתו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קטלניותו ולכמותו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המגמה</w:t>
      </w:r>
      <w:r>
        <w:rPr>
          <w:rFonts w:ascii="David" w:hAnsi="David"/>
          <w:shd w:fill="FFFFFF" w:val="clear"/>
          <w:rtl w:val="true"/>
        </w:rPr>
        <w:t xml:space="preserve"> להחמיר בענישה בעבירות נשק באה לידי ביטוי בשורה ארוכה של פסקי דין שניתנו על ידי בית משפט העליון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בין היתר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</w:t>
      </w:r>
      <w:hyperlink r:id="rId19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1323/13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רך חסן נגד מדינת ישראל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sz w:val="22"/>
          <w:shd w:fill="FFFFFF" w:val="clear"/>
          <w:rtl w:val="true"/>
        </w:rPr>
        <w:t>[</w:t>
      </w:r>
      <w:r>
        <w:rPr>
          <w:sz w:val="22"/>
          <w:sz w:val="22"/>
          <w:shd w:fill="FFFFFF" w:val="clear"/>
          <w:rtl w:val="true"/>
        </w:rPr>
        <w:t>פורסם</w:t>
      </w:r>
      <w:r>
        <w:rPr>
          <w:rFonts w:cs="Times New Roman"/>
          <w:sz w:val="22"/>
          <w:sz w:val="22"/>
          <w:shd w:fill="FFFFFF" w:val="clear"/>
          <w:rtl w:val="true"/>
        </w:rPr>
        <w:t xml:space="preserve"> </w:t>
      </w:r>
      <w:r>
        <w:rPr>
          <w:sz w:val="22"/>
          <w:sz w:val="22"/>
          <w:shd w:fill="FFFFFF" w:val="clear"/>
          <w:rtl w:val="true"/>
        </w:rPr>
        <w:t>בנבו</w:t>
      </w:r>
      <w:r>
        <w:rPr>
          <w:sz w:val="22"/>
          <w:shd w:fill="FFFFFF" w:val="clear"/>
          <w:rtl w:val="true"/>
        </w:rPr>
        <w:t xml:space="preserve">] </w:t>
      </w:r>
      <w:r>
        <w:rPr>
          <w:rFonts w:cs="David" w:ascii="David" w:hAnsi="David"/>
          <w:shd w:fill="FFFFFF" w:val="clear"/>
          <w:rtl w:val="true"/>
        </w:rPr>
        <w:t>(</w:t>
      </w:r>
      <w:r>
        <w:rPr>
          <w:rFonts w:cs="David" w:ascii="David" w:hAnsi="David"/>
          <w:shd w:fill="FFFFFF" w:val="clear"/>
        </w:rPr>
        <w:t>5.6.13</w:t>
      </w:r>
      <w:r>
        <w:rPr>
          <w:rFonts w:cs="David" w:ascii="David" w:hAnsi="David"/>
          <w:shd w:fill="FFFFFF" w:val="clear"/>
          <w:rtl w:val="true"/>
        </w:rPr>
        <w:t xml:space="preserve">), </w:t>
      </w:r>
      <w:r>
        <w:rPr>
          <w:rFonts w:ascii="David" w:hAnsi="David"/>
          <w:shd w:fill="FFFFFF" w:val="clear"/>
          <w:rtl w:val="true"/>
        </w:rPr>
        <w:t>שם קבעה כב</w:t>
      </w:r>
      <w:r>
        <w:rPr>
          <w:rFonts w:cs="David" w:ascii="David" w:hAnsi="David"/>
          <w:shd w:fill="FFFFFF" w:val="clear"/>
          <w:rtl w:val="true"/>
        </w:rPr>
        <w:t xml:space="preserve">' </w:t>
      </w:r>
      <w:r>
        <w:rPr>
          <w:rFonts w:ascii="David" w:hAnsi="David"/>
          <w:shd w:fill="FFFFFF" w:val="clear"/>
          <w:rtl w:val="true"/>
        </w:rPr>
        <w:t>השופטת ע</w:t>
      </w:r>
      <w:r>
        <w:rPr>
          <w:rFonts w:cs="David" w:ascii="David" w:hAnsi="David"/>
          <w:shd w:fill="FFFFFF" w:val="clear"/>
          <w:rtl w:val="true"/>
        </w:rPr>
        <w:t xml:space="preserve">' </w:t>
      </w:r>
      <w:r>
        <w:rPr>
          <w:rFonts w:ascii="David" w:hAnsi="David"/>
          <w:shd w:fill="FFFFFF" w:val="clear"/>
          <w:rtl w:val="true"/>
        </w:rPr>
        <w:t>ארבל</w:t>
      </w:r>
      <w:r>
        <w:rPr>
          <w:rFonts w:cs="David" w:ascii="David" w:hAnsi="David"/>
          <w:shd w:fill="FFFFFF" w:val="clear"/>
          <w:rtl w:val="true"/>
        </w:rPr>
        <w:t>:</w:t>
      </w:r>
      <w:r>
        <w:rPr>
          <w:rFonts w:cs="David" w:ascii="David" w:hAnsi="David"/>
          <w:shd w:fill="FFFFFF" w:val="clear"/>
          <w:rtl w:val="true"/>
        </w:rPr>
        <w:t xml:space="preserve"> </w:t>
      </w:r>
    </w:p>
    <w:p>
      <w:pPr>
        <w:pStyle w:val="ListParagraph"/>
        <w:shd w:fill="FFFFFF" w:val="clear"/>
        <w:spacing w:lineRule="atLeast" w:line="360" w:before="0" w:after="160"/>
        <w:ind w:start="567" w:end="567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אכן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, 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התגלגלותם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לצד המימדים שאליהם הגיעו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בהדרגה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".</w:t>
      </w:r>
    </w:p>
    <w:p>
      <w:pPr>
        <w:pStyle w:val="ListParagraph"/>
        <w:ind w:start="567"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David" w:hAnsi="David" w:cs="David"/>
        </w:rPr>
      </w:pPr>
      <w:r>
        <w:rPr>
          <w:rFonts w:ascii="David" w:hAnsi="David"/>
          <w:shd w:fill="FFFFFF" w:val="clear"/>
          <w:rtl w:val="true"/>
        </w:rPr>
        <w:t>זאת ועוד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מגמת ההחמרה בעבירות הנשק באה לאחרונה לידי ביטוי גם בדברי כב</w:t>
      </w:r>
      <w:r>
        <w:rPr>
          <w:rFonts w:cs="David" w:ascii="David" w:hAnsi="David"/>
          <w:shd w:fill="FFFFFF" w:val="clear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 ב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2165/23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</w:t>
      </w:r>
      <w:r>
        <w:rPr>
          <w:rFonts w:ascii="David" w:hAnsi="David"/>
          <w:b/>
          <w:b/>
          <w:bCs/>
          <w:color w:val="000000"/>
          <w:rtl w:val="true"/>
        </w:rPr>
        <w:t>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פלאח בלאל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4.5.23</w:t>
      </w:r>
      <w:r>
        <w:rPr>
          <w:rFonts w:cs="David" w:ascii="David" w:hAnsi="David"/>
          <w:color w:val="000000"/>
          <w:rtl w:val="true"/>
        </w:rPr>
        <w:t xml:space="preserve">):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עבירות אלו הפכו זה מכבר ל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מכת מדינה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 xml:space="preserve">בחברה הישראלית </w:t>
      </w:r>
      <w:r>
        <w:rPr>
          <w:rFonts w:cs="David" w:ascii="David" w:hAnsi="David"/>
          <w:b/>
          <w:bCs/>
          <w:color w:val="000000"/>
          <w:rtl w:val="true"/>
        </w:rPr>
        <w:t xml:space="preserve">[...]. </w:t>
      </w:r>
      <w:r>
        <w:rPr>
          <w:rFonts w:ascii="David" w:hAnsi="David"/>
          <w:b/>
          <w:b/>
          <w:bCs/>
          <w:color w:val="000000"/>
          <w:rtl w:val="true"/>
        </w:rPr>
        <w:t>הן מסכנות את שלום הציבור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גם בהיותן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קרקע פורייה</w:t>
      </w:r>
      <w:r>
        <w:rPr>
          <w:rFonts w:cs="David" w:ascii="David" w:hAnsi="David"/>
          <w:b/>
          <w:bCs/>
          <w:color w:val="000000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rtl w:val="true"/>
        </w:rPr>
        <w:t>לביצוע עבירות אחרות – החל מעבירות איומים וכלה בעבירות המתה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ובשל יכולתן לגרום לפגיעות בגוף ובנפש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ציין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אלרון באותו פסק 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לאור חומרה זו 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הודגש לא אחת כי יש לנקוט במדיניות ענישה ממשית ומשמעותית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בה ניתן מעמד בכורה מבין שיקולי הענישה לשיקולי הרתעת היחיד והרבים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שמשמעותה הרחקת עברייני הנשק </w:t>
      </w:r>
      <w:r>
        <w:rPr>
          <w:rFonts w:ascii="David" w:hAnsi="David"/>
          <w:b/>
          <w:b/>
          <w:bCs/>
          <w:rtl w:val="true"/>
        </w:rPr>
        <w:t>מהחברה לפרק זמן משמעותי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ידי השמתם מאחורי סורג ובריח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גם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hyperlink r:id="rId21">
        <w:r>
          <w:rPr>
            <w:rStyle w:val="Hyperlink"/>
            <w:shd w:fill="FFFFFF" w:val="clear"/>
            <w:rtl w:val="true"/>
          </w:rPr>
          <w:t>בע</w:t>
        </w:r>
        <w:r>
          <w:rPr>
            <w:rStyle w:val="Hyperlink"/>
            <w:shd w:fill="FFFFFF" w:val="clear"/>
            <w:rtl w:val="true"/>
          </w:rPr>
          <w:t>"</w:t>
        </w:r>
        <w:r>
          <w:rPr>
            <w:rStyle w:val="Hyperlink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6068/21</w:t>
        </w:r>
        <w:r>
          <w:rPr>
            <w:rStyle w:val="Hyperlink"/>
            <w:shd w:fill="FFFFFF" w:val="clear"/>
            <w:rtl w:val="true"/>
          </w:rPr>
          <w:t xml:space="preserve"> </w:t>
        </w:r>
      </w:hyperlink>
      <w:r>
        <w:rPr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פקיה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z w:val="22"/>
          <w:shd w:fill="FFFFFF" w:val="clear"/>
          <w:rtl w:val="true"/>
        </w:rPr>
        <w:t>[</w:t>
      </w:r>
      <w:r>
        <w:rPr>
          <w:sz w:val="22"/>
          <w:sz w:val="22"/>
          <w:shd w:fill="FFFFFF" w:val="clear"/>
          <w:rtl w:val="true"/>
        </w:rPr>
        <w:t>פורסם</w:t>
      </w:r>
      <w:r>
        <w:rPr>
          <w:rFonts w:cs="Times New Roman"/>
          <w:sz w:val="22"/>
          <w:sz w:val="22"/>
          <w:shd w:fill="FFFFFF" w:val="clear"/>
          <w:rtl w:val="true"/>
        </w:rPr>
        <w:t xml:space="preserve"> </w:t>
      </w:r>
      <w:r>
        <w:rPr>
          <w:sz w:val="22"/>
          <w:sz w:val="22"/>
          <w:shd w:fill="FFFFFF" w:val="clear"/>
          <w:rtl w:val="true"/>
        </w:rPr>
        <w:t>בנבו</w:t>
      </w:r>
      <w:r>
        <w:rPr>
          <w:sz w:val="22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19.12.21</w:t>
      </w:r>
      <w:r>
        <w:rPr>
          <w:shd w:fill="FFFFFF" w:val="clear"/>
          <w:rtl w:val="true"/>
        </w:rPr>
        <w:t xml:space="preserve">); </w:t>
      </w:r>
      <w:hyperlink r:id="rId22">
        <w:r>
          <w:rPr>
            <w:rStyle w:val="Hyperlink"/>
            <w:shd w:fill="FFFFFF" w:val="clear"/>
            <w:rtl w:val="true"/>
          </w:rPr>
          <w:t>ע</w:t>
        </w:r>
        <w:r>
          <w:rPr>
            <w:rStyle w:val="Hyperlink"/>
            <w:shd w:fill="FFFFFF" w:val="clear"/>
            <w:rtl w:val="true"/>
          </w:rPr>
          <w:t>"</w:t>
        </w:r>
        <w:r>
          <w:rPr>
            <w:rStyle w:val="Hyperlink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4456/21</w:t>
        </w:r>
      </w:hyperlink>
      <w:r>
        <w:rPr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נ</w:t>
      </w:r>
      <w:r>
        <w:rPr>
          <w:b/>
          <w:bCs/>
          <w:shd w:fill="FFFFFF" w:val="clear"/>
          <w:rtl w:val="true"/>
        </w:rPr>
        <w:t xml:space="preserve">' </w:t>
      </w:r>
      <w:r>
        <w:rPr>
          <w:b/>
          <w:b/>
          <w:bCs/>
          <w:shd w:fill="FFFFFF" w:val="clear"/>
          <w:rtl w:val="true"/>
        </w:rPr>
        <w:t>אבו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b/>
          <w:b/>
          <w:bCs/>
          <w:shd w:fill="FFFFFF" w:val="clear"/>
          <w:rtl w:val="true"/>
        </w:rPr>
        <w:t>עבסה</w:t>
      </w:r>
      <w:r>
        <w:rPr>
          <w:rFonts w:cs="Times New Roman"/>
          <w:b/>
          <w:b/>
          <w:bCs/>
          <w:shd w:fill="FFFFFF" w:val="clear"/>
          <w:rtl w:val="true"/>
        </w:rPr>
        <w:t xml:space="preserve"> </w:t>
      </w:r>
      <w:r>
        <w:rPr>
          <w:sz w:val="22"/>
          <w:shd w:fill="FFFFFF" w:val="clear"/>
          <w:rtl w:val="true"/>
        </w:rPr>
        <w:t>[</w:t>
      </w:r>
      <w:r>
        <w:rPr>
          <w:sz w:val="22"/>
          <w:sz w:val="22"/>
          <w:shd w:fill="FFFFFF" w:val="clear"/>
          <w:rtl w:val="true"/>
        </w:rPr>
        <w:t>פורסם</w:t>
      </w:r>
      <w:r>
        <w:rPr>
          <w:rFonts w:cs="Times New Roman"/>
          <w:sz w:val="22"/>
          <w:sz w:val="22"/>
          <w:shd w:fill="FFFFFF" w:val="clear"/>
          <w:rtl w:val="true"/>
        </w:rPr>
        <w:t xml:space="preserve"> </w:t>
      </w:r>
      <w:r>
        <w:rPr>
          <w:sz w:val="22"/>
          <w:sz w:val="22"/>
          <w:shd w:fill="FFFFFF" w:val="clear"/>
          <w:rtl w:val="true"/>
        </w:rPr>
        <w:t>בנבו</w:t>
      </w:r>
      <w:r>
        <w:rPr>
          <w:sz w:val="22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23.1.22</w:t>
      </w:r>
      <w:r>
        <w:rPr>
          <w:shd w:fill="FFFFFF" w:val="clear"/>
          <w:rtl w:val="true"/>
        </w:rPr>
        <w:t>));</w:t>
      </w:r>
      <w:r>
        <w:rPr>
          <w:rFonts w:cs="David" w:ascii="David" w:hAnsi="David"/>
          <w:rtl w:val="true"/>
        </w:rPr>
        <w:t xml:space="preserve">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4103/22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אמון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6.11.22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spacing w:lineRule="auto" w:line="360"/>
        <w:ind w:start="708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לעשות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באמצעות ענישה מחמירה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גרוסקופף ב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הוארי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25.11.19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 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נבארי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2.7.20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מזוז 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6277/20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קנאו דניאל היילי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24.03.21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 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2733/20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בשיר אבו זיאד ואח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24.10.21</w:t>
      </w:r>
      <w:r>
        <w:rPr>
          <w:rFonts w:cs="David" w:ascii="David" w:hAnsi="David"/>
          <w:rtl w:val="true"/>
        </w:rPr>
        <w:t xml:space="preserve">)); </w:t>
      </w:r>
      <w:r>
        <w:rPr>
          <w:rFonts w:ascii="David" w:hAnsi="David"/>
          <w:rtl w:val="true"/>
        </w:rPr>
        <w:t>דברי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שטיין 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14.9.22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בעניינ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של הנאשם חל 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תיקון מס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140</w:t>
      </w:r>
      <w:r>
        <w:rPr>
          <w:rFonts w:cs="David" w:ascii="David" w:hAnsi="David"/>
          <w:b/>
          <w:bCs/>
          <w:rtl w:val="true"/>
        </w:rPr>
        <w:t>")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בכל הנוגע לעבירת הסחר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 xml:space="preserve">לא יפחת עונשו </w:t>
      </w:r>
      <w:r>
        <w:rPr>
          <w:rFonts w:cs="David" w:ascii="David" w:hAnsi="David"/>
          <w:color w:val="000000"/>
          <w:shd w:fill="FFFFFF" w:val="clear"/>
          <w:rtl w:val="true"/>
        </w:rPr>
        <w:t>[</w:t>
      </w:r>
      <w:r>
        <w:rPr>
          <w:rFonts w:ascii="David" w:hAnsi="David"/>
          <w:color w:val="000000"/>
          <w:shd w:fill="FFFFFF" w:val="clear"/>
          <w:rtl w:val="true"/>
        </w:rPr>
        <w:t>של העבריין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] </w:t>
      </w:r>
      <w:r>
        <w:rPr>
          <w:rFonts w:ascii="David" w:hAnsi="David"/>
          <w:color w:val="000000"/>
          <w:shd w:fill="FFFFFF" w:val="clear"/>
          <w:rtl w:val="true"/>
        </w:rPr>
        <w:t>מרבע העונש המרבי שנקבע לאותה עבירה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אלא אם כן החליט בית המשפט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מטעמים מיוחדים שיירשמו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להקל בעונשו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כמו כן נקבע בתיקון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עונש מאסר לפי סעיף קטן זה לא יהיה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בהעדר טעמים מיוחדים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כולו על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תנאי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(</w:t>
      </w:r>
      <w:hyperlink r:id="rId2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נסיבות תפיסתו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מידת קטלניותו ולכמותו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בחינת מדיניות הענישה הנהוגה מעלה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כאשר עסקינן בסחר ברימוני הלם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ועונשי מאסר קצרים שיכול שירוצו בעבודות שירות במקרים של נשיאת רימוני הלם או אף של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צ במקרים של החזקתם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כפי שיפורט להלן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142" w:start="567" w:end="0"/>
        <w:jc w:val="both"/>
        <w:rPr>
          <w:rFonts w:ascii="David" w:hAnsi="David" w:cs="David"/>
          <w:spacing w:val="10"/>
        </w:rPr>
      </w:pPr>
      <w:r>
        <w:rPr>
          <w:rFonts w:ascii="David" w:hAnsi="David"/>
          <w:spacing w:val="10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3892/22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bCs/>
          <w:rtl w:val="true"/>
        </w:rPr>
        <w:t>שי משה נ</w:t>
      </w:r>
      <w:r>
        <w:rPr>
          <w:rFonts w:cs="David" w:ascii="David" w:hAnsi="David"/>
          <w:bCs/>
          <w:rtl w:val="true"/>
        </w:rPr>
        <w:t xml:space="preserve">' </w:t>
      </w:r>
      <w:r>
        <w:rPr>
          <w:rFonts w:ascii="David" w:hAnsi="David"/>
          <w:bCs/>
          <w:rtl w:val="true"/>
        </w:rPr>
        <w:t>מדינת ישראל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cs="David" w:ascii="David" w:hAnsi="David"/>
          <w:spacing w:val="10"/>
        </w:rPr>
        <w:t>28.3.23</w:t>
      </w:r>
      <w:r>
        <w:rPr>
          <w:rFonts w:cs="David" w:ascii="David" w:hAnsi="David"/>
          <w:spacing w:val="10"/>
          <w:rtl w:val="true"/>
        </w:rPr>
        <w:t>)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נדון עניינו של מי שהורשע </w:t>
      </w:r>
      <w:r>
        <w:rPr>
          <w:rFonts w:ascii="David" w:hAnsi="David"/>
          <w:spacing w:val="10"/>
          <w:rtl w:val="true"/>
        </w:rPr>
        <w:t>בארבע עבירות של רכישת נשק כמבצע עיקרי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ובעבירה אחת של נשיאה והובלה של נשק כמבצע בצוותא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שם דובר במאות רימוני הלם ואלפי כדורי רובה שנגנבו מצה</w:t>
      </w:r>
      <w:r>
        <w:rPr>
          <w:rFonts w:cs="David" w:ascii="David" w:hAnsi="David"/>
          <w:spacing w:val="10"/>
          <w:rtl w:val="true"/>
        </w:rPr>
        <w:t>"</w:t>
      </w:r>
      <w:r>
        <w:rPr>
          <w:rFonts w:ascii="David" w:hAnsi="David"/>
          <w:spacing w:val="10"/>
          <w:rtl w:val="true"/>
        </w:rPr>
        <w:t>ל ונמכרו למערער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בית המשפט המחוזי גזר עליו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cs="David" w:ascii="David" w:hAnsi="David"/>
          <w:spacing w:val="10"/>
        </w:rPr>
        <w:t>5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שנות מאסר בפועל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מאסרים מותנים וקנס</w:t>
      </w:r>
      <w:r>
        <w:rPr>
          <w:rFonts w:cs="David" w:ascii="David" w:hAnsi="David"/>
          <w:spacing w:val="10"/>
          <w:rtl w:val="true"/>
        </w:rPr>
        <w:t>.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בית המשפט העליון קבע ש</w:t>
      </w:r>
      <w:r>
        <w:rPr>
          <w:rFonts w:ascii="David" w:hAnsi="David"/>
          <w:spacing w:val="10"/>
          <w:rtl w:val="true"/>
        </w:rPr>
        <w:t xml:space="preserve">במצב הדברים הרגיל לא היה מקום </w:t>
      </w:r>
      <w:r>
        <w:rPr>
          <w:rFonts w:ascii="David" w:hAnsi="David"/>
          <w:spacing w:val="10"/>
          <w:rtl w:val="true"/>
        </w:rPr>
        <w:t>להתערב בעונש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עם זאת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בית המשפט העליון </w:t>
      </w:r>
      <w:r>
        <w:rPr>
          <w:rFonts w:ascii="David" w:hAnsi="David"/>
          <w:spacing w:val="10"/>
          <w:rtl w:val="true"/>
        </w:rPr>
        <w:t>פסק מטעמי עקרון אחידות בענישה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בשים לב לכך שנגזרו </w:t>
      </w:r>
      <w:r>
        <w:rPr>
          <w:rFonts w:cs="David" w:ascii="David" w:hAnsi="David"/>
          <w:spacing w:val="10"/>
        </w:rPr>
        <w:t>6.5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 xml:space="preserve">שנות מאסר על מעורב אחר </w:t>
      </w:r>
      <w:r>
        <w:rPr>
          <w:rFonts w:ascii="David" w:hAnsi="David"/>
          <w:spacing w:val="10"/>
          <w:rtl w:val="true"/>
        </w:rPr>
        <w:t>שחלקו בפרשה חמור משמעותית</w:t>
      </w:r>
      <w:r>
        <w:rPr>
          <w:rFonts w:cs="David" w:ascii="David" w:hAnsi="David"/>
          <w:spacing w:val="10"/>
          <w:rtl w:val="true"/>
        </w:rPr>
        <w:t>,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שכן הוא הורשע גם בעבירות של גניבה וסחר בנשק</w:t>
      </w:r>
      <w:r>
        <w:rPr>
          <w:rFonts w:ascii="David" w:hAnsi="David"/>
          <w:spacing w:val="10"/>
          <w:rtl w:val="true"/>
        </w:rPr>
        <w:t xml:space="preserve"> של אותם רימני הלם וכדורים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והוא אף</w:t>
      </w:r>
      <w:r>
        <w:rPr>
          <w:rFonts w:ascii="David" w:hAnsi="David"/>
          <w:spacing w:val="10"/>
          <w:rtl w:val="true"/>
        </w:rPr>
        <w:t xml:space="preserve"> ניצל את תפקידו בצה</w:t>
      </w:r>
      <w:r>
        <w:rPr>
          <w:rFonts w:cs="David" w:ascii="David" w:hAnsi="David"/>
          <w:spacing w:val="10"/>
          <w:rtl w:val="true"/>
        </w:rPr>
        <w:t>"</w:t>
      </w:r>
      <w:r>
        <w:rPr>
          <w:rFonts w:ascii="David" w:hAnsi="David"/>
          <w:spacing w:val="10"/>
          <w:rtl w:val="true"/>
        </w:rPr>
        <w:t>ל ואת נגישותו לנשק תוך הפרת חובת הנאמנות לצה</w:t>
      </w:r>
      <w:r>
        <w:rPr>
          <w:rFonts w:cs="David" w:ascii="David" w:hAnsi="David"/>
          <w:spacing w:val="10"/>
          <w:rtl w:val="true"/>
        </w:rPr>
        <w:t>"</w:t>
      </w:r>
      <w:r>
        <w:rPr>
          <w:rFonts w:ascii="David" w:hAnsi="David"/>
          <w:spacing w:val="10"/>
          <w:rtl w:val="true"/>
        </w:rPr>
        <w:t>ל</w:t>
      </w:r>
      <w:r>
        <w:rPr>
          <w:rFonts w:cs="David" w:ascii="David" w:hAnsi="David"/>
          <w:spacing w:val="10"/>
          <w:rtl w:val="true"/>
        </w:rPr>
        <w:t>,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ש</w:t>
      </w:r>
      <w:r>
        <w:rPr>
          <w:rFonts w:ascii="David" w:hAnsi="David"/>
          <w:spacing w:val="10"/>
          <w:rtl w:val="true"/>
        </w:rPr>
        <w:t xml:space="preserve">יש להפחית </w:t>
      </w:r>
      <w:r>
        <w:rPr>
          <w:rFonts w:cs="David" w:ascii="David" w:hAnsi="David"/>
          <w:spacing w:val="10"/>
        </w:rPr>
        <w:t>8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 xml:space="preserve">חודשים מעונשו של </w:t>
      </w:r>
      <w:r>
        <w:rPr>
          <w:rFonts w:ascii="David" w:hAnsi="David"/>
          <w:spacing w:val="10"/>
          <w:rtl w:val="true"/>
        </w:rPr>
        <w:t>המערער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כך שחלף </w:t>
      </w:r>
      <w:r>
        <w:rPr>
          <w:rFonts w:cs="David" w:ascii="David" w:hAnsi="David"/>
          <w:spacing w:val="10"/>
        </w:rPr>
        <w:t>5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שנות מאסר בפועל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הושתו עליו </w:t>
      </w:r>
      <w:r>
        <w:rPr>
          <w:rFonts w:cs="David" w:ascii="David" w:hAnsi="David"/>
          <w:spacing w:val="10"/>
        </w:rPr>
        <w:t>4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שנים ו</w:t>
      </w:r>
      <w:r>
        <w:rPr>
          <w:rFonts w:cs="David" w:ascii="David" w:hAnsi="David"/>
          <w:spacing w:val="10"/>
          <w:rtl w:val="true"/>
        </w:rPr>
        <w:t>-</w:t>
      </w:r>
      <w:r>
        <w:rPr>
          <w:rFonts w:cs="David" w:ascii="David" w:hAnsi="David"/>
          <w:spacing w:val="10"/>
        </w:rPr>
        <w:t>4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חודשים של מאסר בפועל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יודגש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שבשונה מעניינינו מדובר בסחר במאות רימוני הלם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שנגנבו מצה</w:t>
      </w:r>
      <w:r>
        <w:rPr>
          <w:rFonts w:cs="David" w:ascii="David" w:hAnsi="David"/>
          <w:spacing w:val="10"/>
          <w:rtl w:val="true"/>
        </w:rPr>
        <w:t>"</w:t>
      </w:r>
      <w:r>
        <w:rPr>
          <w:rFonts w:ascii="David" w:hAnsi="David"/>
          <w:spacing w:val="10"/>
          <w:rtl w:val="true"/>
        </w:rPr>
        <w:t>ל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במעשים שבוצעו בחבורה תוך תכנון מוקדם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על אף השוני בין המקרים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המאשימה עתרה בעניינינו לענישה דומה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על אף פסיקת בית המשפט העליון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שנתנה אך לאחרונה</w:t>
      </w:r>
      <w:r>
        <w:rPr>
          <w:rFonts w:cs="David" w:ascii="David" w:hAnsi="David"/>
          <w:spacing w:val="10"/>
          <w:rtl w:val="true"/>
        </w:rPr>
        <w:t>.</w:t>
      </w:r>
    </w:p>
    <w:p>
      <w:pPr>
        <w:pStyle w:val="ListParagraph"/>
        <w:spacing w:lineRule="auto" w:line="360"/>
        <w:ind w:start="567" w:end="0"/>
        <w:jc w:val="both"/>
        <w:rPr>
          <w:rFonts w:ascii="David" w:hAnsi="David" w:cs="David"/>
          <w:spacing w:val="10"/>
          <w:sz w:val="12"/>
          <w:szCs w:val="12"/>
        </w:rPr>
      </w:pPr>
      <w:r>
        <w:rPr>
          <w:rFonts w:cs="David" w:ascii="David" w:hAnsi="David"/>
          <w:spacing w:val="10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142" w:start="567" w:end="0"/>
        <w:jc w:val="both"/>
        <w:rPr>
          <w:rFonts w:ascii="David" w:hAnsi="David" w:cs="David"/>
          <w:spacing w:val="10"/>
        </w:rPr>
      </w:pPr>
      <w:r>
        <w:rPr>
          <w:rFonts w:ascii="David" w:hAnsi="David"/>
          <w:spacing w:val="10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1323/13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רן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ascii="David" w:hAnsi="David"/>
          <w:bCs/>
          <w:rtl w:val="true"/>
        </w:rPr>
        <w:t>חסן נ</w:t>
      </w:r>
      <w:r>
        <w:rPr>
          <w:rFonts w:cs="David" w:ascii="David" w:hAnsi="David"/>
          <w:bCs/>
          <w:rtl w:val="true"/>
        </w:rPr>
        <w:t xml:space="preserve">' </w:t>
      </w:r>
      <w:r>
        <w:rPr>
          <w:rFonts w:ascii="David" w:hAnsi="David"/>
          <w:bCs/>
          <w:rtl w:val="true"/>
        </w:rPr>
        <w:t>מדינת ישראל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cs="David" w:ascii="David" w:hAnsi="David"/>
          <w:spacing w:val="10"/>
        </w:rPr>
        <w:t>5.6.13</w:t>
      </w:r>
      <w:r>
        <w:rPr>
          <w:rFonts w:cs="David" w:ascii="David" w:hAnsi="David"/>
          <w:spacing w:val="10"/>
          <w:rtl w:val="true"/>
        </w:rPr>
        <w:t xml:space="preserve">), </w:t>
      </w:r>
      <w:r>
        <w:rPr>
          <w:rFonts w:ascii="David" w:hAnsi="David"/>
          <w:spacing w:val="10"/>
          <w:rtl w:val="true"/>
        </w:rPr>
        <w:t>מדובר במי ש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,</w:t>
      </w:r>
      <w:r>
        <w:rPr/>
        <w:t>300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ברימון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ובהתחשב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תכנון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שקדם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והנזק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להיגרם</w:t>
      </w:r>
      <w:r>
        <w:rPr>
          <w:sz w:val="28"/>
          <w:rtl w:val="true"/>
        </w:rPr>
        <w:t xml:space="preserve">,  </w:t>
      </w:r>
      <w:r>
        <w:rPr>
          <w:sz w:val="28"/>
          <w:sz w:val="28"/>
          <w:rtl w:val="true"/>
        </w:rPr>
        <w:t>מתחם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לארבע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>.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 xml:space="preserve">בשים לב לעברו הפלילי המכביד של המערער ולנסיבותיו האישיות הוא נדון לעונש של </w:t>
      </w:r>
      <w:r>
        <w:rPr>
          <w:rFonts w:cs="David" w:ascii="David" w:hAnsi="David"/>
          <w:spacing w:val="10"/>
        </w:rPr>
        <w:t>24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חודשי מאסר ועונשים נלווים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 xml:space="preserve">בית המשפט קבע שם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ascii="David" w:hAnsi="David"/>
          <w:spacing w:val="10"/>
          <w:rtl w:val="true"/>
        </w:rPr>
        <w:t xml:space="preserve">פסקה </w:t>
      </w:r>
      <w:r>
        <w:rPr>
          <w:rFonts w:cs="David" w:ascii="David" w:hAnsi="David"/>
          <w:spacing w:val="10"/>
        </w:rPr>
        <w:t>12</w:t>
      </w:r>
      <w:r>
        <w:rPr>
          <w:rFonts w:cs="David" w:ascii="David" w:hAnsi="David"/>
          <w:spacing w:val="10"/>
          <w:rtl w:val="true"/>
        </w:rPr>
        <w:t xml:space="preserve">): 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b/>
          <w:b/>
          <w:bCs/>
          <w:rtl w:val="true"/>
        </w:rPr>
        <w:t>לגופו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לטעמי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לטשטש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ולהכניסו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על אף דברים אלה דחה בית המשפט העליון את הערעור בציינו את הצורך בהחמרה בעבירות הנשק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בשל הצורך למגרן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בעניינינו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מדובר בשלושה רימונים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ביישומון שמטרתו סחר בנשק מכל הסוגים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ובשני אירועי סחר מול סוכן משטרתי</w:t>
      </w:r>
      <w:r>
        <w:rPr>
          <w:rFonts w:cs="David" w:ascii="David" w:hAnsi="David"/>
          <w:spacing w:val="10"/>
          <w:rtl w:val="true"/>
        </w:rPr>
        <w:t xml:space="preserve">. </w:t>
      </w:r>
      <w:r>
        <w:rPr>
          <w:rFonts w:ascii="David" w:hAnsi="David"/>
          <w:spacing w:val="10"/>
          <w:rtl w:val="true"/>
        </w:rPr>
        <w:t>בנוסף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מאז פסק דין זה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כאמור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הוחמרו עוד העונשים בעבירות הנשק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לרבות תיקון </w:t>
      </w:r>
      <w:r>
        <w:rPr>
          <w:rFonts w:cs="David" w:ascii="David" w:hAnsi="David"/>
          <w:spacing w:val="10"/>
        </w:rPr>
        <w:t>140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לחוק שהוביל להחמרה נוספת</w:t>
      </w:r>
      <w:r>
        <w:rPr>
          <w:rFonts w:cs="David" w:ascii="David" w:hAnsi="David"/>
          <w:spacing w:val="10"/>
          <w:rtl w:val="true"/>
        </w:rPr>
        <w:t>.</w:t>
      </w:r>
    </w:p>
    <w:p>
      <w:pPr>
        <w:pStyle w:val="ListParagraph"/>
        <w:spacing w:lineRule="auto" w:line="360"/>
        <w:ind w:start="567" w:end="0"/>
        <w:jc w:val="both"/>
        <w:rPr>
          <w:rFonts w:ascii="David" w:hAnsi="David" w:cs="David"/>
          <w:spacing w:val="10"/>
          <w:sz w:val="12"/>
          <w:szCs w:val="12"/>
        </w:rPr>
      </w:pPr>
      <w:r>
        <w:rPr>
          <w:rFonts w:cs="David" w:ascii="David" w:hAnsi="David"/>
          <w:spacing w:val="10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142" w:start="567" w:end="0"/>
        <w:jc w:val="both"/>
        <w:rPr>
          <w:rFonts w:ascii="David" w:hAnsi="David" w:cs="David"/>
          <w:spacing w:val="10"/>
        </w:rPr>
      </w:pPr>
      <w:r>
        <w:rPr>
          <w:rStyle w:val="Hyperlink"/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pacing w:val="10"/>
            <w:u w:val="single"/>
          </w:rPr>
          <w:t>8338-12-13</w:t>
        </w:r>
      </w:hyperlink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bCs/>
          <w:spacing w:val="10"/>
          <w:rtl w:val="true"/>
        </w:rPr>
        <w:t>מדינת ישראל נ</w:t>
      </w:r>
      <w:r>
        <w:rPr>
          <w:rFonts w:cs="David" w:ascii="David" w:hAnsi="David"/>
          <w:bCs/>
          <w:spacing w:val="10"/>
          <w:rtl w:val="true"/>
        </w:rPr>
        <w:t xml:space="preserve">' </w:t>
      </w:r>
      <w:r>
        <w:rPr>
          <w:rFonts w:ascii="David" w:hAnsi="David"/>
          <w:bCs/>
          <w:spacing w:val="10"/>
          <w:rtl w:val="true"/>
        </w:rPr>
        <w:t>זידאן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cs="David" w:ascii="David" w:hAnsi="David"/>
          <w:spacing w:val="10"/>
        </w:rPr>
        <w:t>18.9.14</w:t>
      </w:r>
      <w:r>
        <w:rPr>
          <w:rFonts w:cs="David" w:ascii="David" w:hAnsi="David"/>
          <w:spacing w:val="10"/>
          <w:rtl w:val="true"/>
        </w:rPr>
        <w:t>)</w:t>
      </w:r>
      <w:r>
        <w:rPr>
          <w:rFonts w:cs="David" w:ascii="David" w:hAnsi="David"/>
          <w:spacing w:val="10"/>
          <w:rtl w:val="true"/>
        </w:rPr>
        <w:t>,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נקבע כי מתחם העונש ההולם בגין החזקה</w:t>
      </w:r>
      <w:r>
        <w:rPr>
          <w:rFonts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נשיאה והובלה של רימון הלם אחד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נע </w:t>
      </w:r>
      <w:r>
        <w:rPr>
          <w:rFonts w:ascii="David" w:hAnsi="David"/>
          <w:spacing w:val="10"/>
          <w:rtl w:val="true"/>
        </w:rPr>
        <w:t xml:space="preserve">בין </w:t>
      </w:r>
      <w:r>
        <w:rPr>
          <w:rFonts w:cs="David" w:ascii="David" w:hAnsi="David"/>
          <w:spacing w:val="10"/>
        </w:rPr>
        <w:t>6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 xml:space="preserve">עד </w:t>
      </w:r>
      <w:r>
        <w:rPr>
          <w:rFonts w:cs="David" w:ascii="David" w:hAnsi="David"/>
          <w:spacing w:val="10"/>
        </w:rPr>
        <w:t>36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>חודשי מאסר בפועל</w:t>
      </w:r>
      <w:r>
        <w:rPr>
          <w:rFonts w:cs="David" w:ascii="David" w:hAnsi="David"/>
          <w:spacing w:val="10"/>
          <w:rtl w:val="true"/>
        </w:rPr>
        <w:t>.</w:t>
      </w:r>
    </w:p>
    <w:p>
      <w:pPr>
        <w:pStyle w:val="ListParagraph"/>
        <w:spacing w:lineRule="auto" w:line="360"/>
        <w:ind w:start="567" w:end="0"/>
        <w:jc w:val="both"/>
        <w:rPr>
          <w:rFonts w:ascii="David" w:hAnsi="David" w:cs="David"/>
          <w:spacing w:val="10"/>
          <w:sz w:val="12"/>
          <w:szCs w:val="12"/>
        </w:rPr>
      </w:pPr>
      <w:r>
        <w:rPr>
          <w:rFonts w:cs="David" w:ascii="David" w:hAnsi="David"/>
          <w:spacing w:val="10"/>
          <w:sz w:val="12"/>
          <w:szCs w:val="1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142" w:start="567" w:end="0"/>
        <w:jc w:val="both"/>
        <w:rPr>
          <w:rFonts w:ascii="David" w:hAnsi="David" w:cs="David"/>
          <w:sz w:val="22"/>
        </w:rPr>
      </w:pPr>
      <w:r>
        <w:rPr>
          <w:rFonts w:ascii="David" w:hAnsi="David"/>
          <w:sz w:val="22"/>
          <w:sz w:val="22"/>
          <w:rtl w:val="true"/>
        </w:rPr>
        <w:t>ב</w:t>
      </w:r>
      <w:hyperlink r:id="rId33"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 xml:space="preserve">)  </w:t>
        </w:r>
        <w:r>
          <w:rPr>
            <w:rStyle w:val="Hyperlink"/>
            <w:rFonts w:cs="David" w:ascii="David" w:hAnsi="David"/>
            <w:color w:val="0000FF"/>
            <w:sz w:val="22"/>
            <w:u w:val="single"/>
          </w:rPr>
          <w:t>265-07-11</w:t>
        </w:r>
      </w:hyperlink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rtl w:val="true"/>
        </w:rPr>
        <w:t>מדינת ישראל נ</w:t>
      </w:r>
      <w:r>
        <w:rPr>
          <w:rFonts w:cs="David" w:ascii="David" w:hAnsi="David"/>
          <w:b/>
          <w:bCs/>
          <w:sz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rtl w:val="true"/>
        </w:rPr>
        <w:t>נפתלייב</w:t>
      </w:r>
      <w:r>
        <w:rPr>
          <w:rFonts w:ascii="David" w:hAnsi="David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sz w:val="22"/>
          <w:rtl w:val="true"/>
        </w:rPr>
        <w:t>(</w:t>
      </w:r>
      <w:r>
        <w:rPr>
          <w:rFonts w:cs="David" w:ascii="David" w:hAnsi="David"/>
          <w:sz w:val="22"/>
        </w:rPr>
        <w:t>3.6.13</w:t>
      </w:r>
      <w:r>
        <w:rPr>
          <w:rFonts w:cs="David" w:ascii="David" w:hAnsi="David"/>
          <w:sz w:val="22"/>
          <w:rtl w:val="true"/>
        </w:rPr>
        <w:t>)</w:t>
      </w:r>
      <w:r>
        <w:rPr>
          <w:rFonts w:cs="David" w:ascii="David" w:hAnsi="David"/>
          <w:sz w:val="22"/>
          <w:rtl w:val="true"/>
        </w:rPr>
        <w:t>,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sz w:val="22"/>
          <w:sz w:val="22"/>
          <w:rtl w:val="true"/>
        </w:rPr>
        <w:t xml:space="preserve">הורשע הנאשם בהחזקת </w:t>
      </w:r>
      <w:r>
        <w:rPr>
          <w:rFonts w:cs="David" w:ascii="David" w:hAnsi="David"/>
          <w:sz w:val="22"/>
        </w:rPr>
        <w:t>2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sz w:val="22"/>
          <w:sz w:val="22"/>
          <w:rtl w:val="true"/>
        </w:rPr>
        <w:t>רימוני הלם בגן ציבורי ובית משפט המחוזי השית עליו עונש של מע</w:t>
      </w:r>
      <w:r>
        <w:rPr>
          <w:rFonts w:cs="David" w:ascii="David" w:hAnsi="David"/>
          <w:sz w:val="22"/>
          <w:rtl w:val="true"/>
        </w:rPr>
        <w:t>"</w:t>
      </w:r>
      <w:r>
        <w:rPr>
          <w:rFonts w:ascii="David" w:hAnsi="David"/>
          <w:sz w:val="22"/>
          <w:sz w:val="22"/>
          <w:rtl w:val="true"/>
        </w:rPr>
        <w:t>ת מבחן ו</w:t>
      </w:r>
      <w:r>
        <w:rPr>
          <w:rFonts w:cs="David" w:ascii="David" w:hAnsi="David"/>
          <w:sz w:val="22"/>
          <w:rtl w:val="true"/>
        </w:rPr>
        <w:t xml:space="preserve">- </w:t>
      </w:r>
      <w:r>
        <w:rPr>
          <w:rFonts w:cs="David" w:ascii="David" w:hAnsi="David"/>
          <w:sz w:val="22"/>
        </w:rPr>
        <w:t>400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sz w:val="22"/>
          <w:sz w:val="22"/>
          <w:rtl w:val="true"/>
        </w:rPr>
        <w:t>שעות של</w:t>
      </w:r>
      <w:r>
        <w:rPr>
          <w:rFonts w:cs="David" w:ascii="David" w:hAnsi="David"/>
          <w:sz w:val="22"/>
          <w:rtl w:val="true"/>
        </w:rPr>
        <w:t>"</w:t>
      </w:r>
      <w:r>
        <w:rPr>
          <w:rFonts w:ascii="David" w:hAnsi="David"/>
          <w:sz w:val="22"/>
          <w:sz w:val="22"/>
          <w:rtl w:val="true"/>
        </w:rPr>
        <w:t>צ</w:t>
      </w:r>
      <w:r>
        <w:rPr>
          <w:rFonts w:cs="David" w:ascii="David" w:hAnsi="David"/>
          <w:sz w:val="22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2"/>
        </w:rPr>
      </w:pPr>
      <w:r>
        <w:rPr>
          <w:rFonts w:cs="David" w:ascii="David" w:hAnsi="David"/>
          <w:sz w:val="22"/>
          <w:rtl w:val="true"/>
        </w:rPr>
      </w:r>
    </w:p>
    <w:p>
      <w:pPr>
        <w:pStyle w:val="ListParagraph"/>
        <w:numPr>
          <w:ilvl w:val="1"/>
          <w:numId w:val="1"/>
        </w:numPr>
        <w:spacing w:lineRule="auto" w:line="360"/>
        <w:ind w:hanging="142" w:start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35629-09-11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סבירידונוב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19.2.15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הנאשם בהחזקת רימון הלם שמצא בארונו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שם נקבע שמתחם העונש ההולם נע בין שירות לתועלת הציבור בהיקף נרחב לבין מאסר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ListParagraph"/>
        <w:spacing w:lineRule="auto" w:line="360"/>
        <w:ind w:start="708" w:end="0"/>
        <w:jc w:val="both"/>
        <w:rPr>
          <w:rFonts w:ascii="David" w:hAnsi="David" w:cs="David"/>
          <w:spacing w:val="10"/>
          <w:sz w:val="12"/>
          <w:szCs w:val="12"/>
        </w:rPr>
      </w:pPr>
      <w:r>
        <w:rPr>
          <w:rFonts w:cs="David" w:ascii="David" w:hAnsi="David"/>
          <w:spacing w:val="10"/>
          <w:sz w:val="12"/>
          <w:szCs w:val="12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David" w:hAnsi="David" w:cs="David"/>
          <w:color w:val="000000"/>
          <w:sz w:val="12"/>
          <w:szCs w:val="12"/>
        </w:rPr>
      </w:pPr>
      <w:r>
        <w:rPr>
          <w:rFonts w:ascii="David" w:hAnsi="David"/>
          <w:color w:val="000000"/>
          <w:rtl w:val="true"/>
        </w:rPr>
        <w:t>אשר לנסיבות ביצוע העבירה בעניינו שקלתי מחד גיסא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לביצוע העביר</w:t>
      </w:r>
      <w:r>
        <w:rPr>
          <w:rFonts w:ascii="David" w:hAnsi="David"/>
          <w:color w:val="000000"/>
          <w:rtl w:val="true"/>
        </w:rPr>
        <w:t>ות</w:t>
      </w:r>
      <w:r>
        <w:rPr>
          <w:rFonts w:ascii="David" w:hAnsi="David"/>
          <w:color w:val="000000"/>
          <w:rtl w:val="true"/>
        </w:rPr>
        <w:t xml:space="preserve"> קדם תכנון אשר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  אחראי 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בהיותו מי </w:t>
      </w:r>
      <w:r>
        <w:rPr>
          <w:rFonts w:ascii="David" w:hAnsi="David"/>
          <w:color w:val="000000"/>
          <w:rtl w:val="true"/>
        </w:rPr>
        <w:t>שפרסם הצעה למכירת 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תאם עם הסוכן את מקום ביצוע העסקאות ואת המחיר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ומדובר בשתי עסקאות שונות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התנהלותו של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ascii="David" w:hAnsi="David"/>
          <w:color w:val="000000"/>
          <w:rtl w:val="true"/>
        </w:rPr>
        <w:t xml:space="preserve">ביישומון </w:t>
      </w:r>
      <w:r>
        <w:rPr>
          <w:rFonts w:ascii="David" w:hAnsi="David"/>
          <w:color w:val="000000"/>
          <w:rtl w:val="true"/>
        </w:rPr>
        <w:t>מעידה על מעורבות בעולם הנשק וגישה לסוחרי 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נראה כי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 אינו מהסס ליזום בעצמו עסקאות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ולהציע לאחרים לרכושו ממנו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וכל זאת מתוך בצע כסף בלבד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מאידך גיסא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שקלתי כי </w:t>
      </w:r>
      <w:r>
        <w:rPr>
          <w:rFonts w:ascii="David" w:hAnsi="David"/>
          <w:color w:val="000000"/>
          <w:rtl w:val="true"/>
        </w:rPr>
        <w:t>מדובר בסוג נשק במדרג חומרה נמוך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העסקאות בוצעו בפרק זמן קצר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בפרץ עברייני 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כלפי אותו סוכן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בסופו של דבר לא נגרם נזק בפועל מאחר שהנשק נמכר לסוכן משטרתי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לאחר שבחנתי את הערך החברתי שנפגע כתוצאה מביצוע העביר</w:t>
      </w:r>
      <w:r>
        <w:rPr>
          <w:rFonts w:ascii="David" w:hAnsi="David"/>
          <w:color w:val="000000"/>
          <w:rtl w:val="true"/>
        </w:rPr>
        <w:t>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את נסיבות ביצוע</w:t>
      </w:r>
      <w:r>
        <w:rPr>
          <w:rFonts w:ascii="David" w:hAnsi="David"/>
          <w:color w:val="000000"/>
          <w:rtl w:val="true"/>
        </w:rPr>
        <w:t>ן</w:t>
      </w:r>
      <w:r>
        <w:rPr>
          <w:rFonts w:ascii="David" w:hAnsi="David"/>
          <w:color w:val="000000"/>
          <w:rtl w:val="true"/>
        </w:rPr>
        <w:t xml:space="preserve"> ואת מדיניות הענישה הנהוגה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ומגמת ההחמרה בעבירות 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הגעתי לכלל מסקנה </w:t>
      </w:r>
      <w:r>
        <w:rPr>
          <w:rFonts w:ascii="David" w:hAnsi="David"/>
          <w:color w:val="000000"/>
          <w:rtl w:val="true"/>
        </w:rPr>
        <w:t>ש</w:t>
      </w:r>
      <w:r>
        <w:rPr>
          <w:rFonts w:ascii="David" w:hAnsi="David"/>
          <w:color w:val="000000"/>
          <w:rtl w:val="true"/>
        </w:rPr>
        <w:t xml:space="preserve">יש לקבוע מתחם עונש הולם </w:t>
      </w:r>
      <w:r>
        <w:rPr>
          <w:rFonts w:ascii="David" w:hAnsi="David"/>
          <w:color w:val="000000"/>
          <w:rtl w:val="true"/>
        </w:rPr>
        <w:t>אחד לשני האישומים על פי מבחן הקשר ההדוק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כאשר מתחם זה </w:t>
      </w:r>
      <w:r>
        <w:rPr>
          <w:rFonts w:ascii="David" w:hAnsi="David"/>
          <w:color w:val="000000"/>
          <w:rtl w:val="true"/>
        </w:rPr>
        <w:t xml:space="preserve">נע בין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בפועל ועד </w:t>
      </w:r>
      <w:r>
        <w:rPr>
          <w:rFonts w:ascii="David" w:hAnsi="David"/>
          <w:color w:val="000000"/>
          <w:rtl w:val="true"/>
        </w:rPr>
        <w:t xml:space="preserve">עונש של מאסר בפועל לתקופה של 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 בצד רכיבי ענישה נלווים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hanging="284" w:end="0"/>
        <w:jc w:val="start"/>
        <w:rPr>
          <w:rFonts w:ascii="David" w:hAnsi="David" w:cs="David"/>
          <w:b/>
          <w:bCs/>
          <w:color w:val="000000"/>
          <w:sz w:val="26"/>
          <w:szCs w:val="26"/>
          <w:u w:val="single"/>
        </w:rPr>
      </w:pPr>
      <w:r>
        <w:rPr>
          <w:rFonts w:ascii="David" w:hAnsi="David"/>
          <w:b/>
          <w:b/>
          <w:bCs/>
          <w:color w:val="000000"/>
          <w:sz w:val="26"/>
          <w:sz w:val="26"/>
          <w:szCs w:val="26"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אשר לנסיבות שאינן קשורות לביצוע העבירה בעניינו של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לקולה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 הודה בהזדמנות הראשונה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לקח אחריות למעשיו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ובכך חסך זמן שיפוטי יקר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 בחור צעיר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בן </w:t>
      </w:r>
      <w:r>
        <w:rPr>
          <w:rFonts w:cs="David" w:ascii="David" w:hAnsi="David"/>
          <w:color w:val="000000"/>
        </w:rPr>
        <w:t>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במועד ביצוע העביר</w:t>
      </w:r>
      <w:r>
        <w:rPr>
          <w:rFonts w:ascii="David" w:hAnsi="David"/>
          <w:color w:val="000000"/>
          <w:rtl w:val="true"/>
        </w:rPr>
        <w:t>ות</w:t>
      </w:r>
      <w:r>
        <w:rPr>
          <w:rFonts w:ascii="David" w:hAnsi="David"/>
          <w:color w:val="000000"/>
          <w:rtl w:val="true"/>
        </w:rPr>
        <w:t xml:space="preserve"> וכיום בן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נעדר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Arial" w:hAnsi="Arial" w:cs="Arial"/>
          <w:rtl w:val="true"/>
        </w:rPr>
        <w:t>לנאשם רקע משפחתי מורכב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לו עורף 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גדל בצד הזנחה פיזית ונפשית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</w:t>
      </w:r>
      <w:r>
        <w:rPr>
          <w:rFonts w:ascii="David" w:hAnsi="David"/>
          <w:color w:val="000000"/>
          <w:rtl w:val="true"/>
        </w:rPr>
        <w:t>מביע רצון לערוך שינוי כיוון בחייו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לנהל אורח חיים לא עברייני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הביע הנאשם חרטה על 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והכיר בחומרתם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שקלתי כי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 מביע מוטיבציה להשתלב בטיפול במסגרת ריצוי עונש המאסר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שקלתי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כי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 xml:space="preserve">נאשם שוהה במעצר במשך </w:t>
      </w:r>
      <w:r>
        <w:rPr>
          <w:rFonts w:ascii="David" w:hAnsi="David"/>
          <w:color w:val="000000"/>
          <w:rtl w:val="true"/>
        </w:rPr>
        <w:t>תשעה 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וידוע כי תנאי מעצר קשים מתנאי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בוודאי למי שזו מעורבותו הראשונה בפלילים וזהו לו מאסרו הראשון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מנגד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שקלתי לחומרה </w:t>
      </w:r>
      <w:r>
        <w:rPr>
          <w:rFonts w:ascii="David" w:hAnsi="David"/>
          <w:color w:val="000000"/>
          <w:rtl w:val="true"/>
        </w:rPr>
        <w:t>שעל אף השתלבותו של הנאשם בהליך טיפולי שיקומי בעבר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שב לסורו שעה שנקלע למצוקה כלכלית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מדפוסי התנהגות ילדותיים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קושי בהצבת 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השפעה מחברה שולית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ונטייה לטשטוש מעורבות עבריינית והתמכרות לחומרים ממכרים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שקלתי את המלצת שירות המבחן לצורך בהשתת עונש יציב לנאשם</w:t>
      </w:r>
      <w:r>
        <w:rPr>
          <w:rFonts w:ascii="David" w:hAnsi="David"/>
          <w:color w:val="000000"/>
          <w:rtl w:val="true"/>
        </w:rPr>
        <w:t xml:space="preserve"> גבול</w:t>
      </w:r>
      <w:r>
        <w:rPr>
          <w:rFonts w:ascii="Arial" w:hAnsi="Arial" w:cs="Arial"/>
          <w:rtl w:val="true"/>
        </w:rPr>
        <w:t xml:space="preserve"> חיצוני מרתיע וברור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sz w:val="12"/>
          <w:szCs w:val="12"/>
        </w:rPr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284" w:start="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אשר על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החלטתי להטיל על הנאשם את העונשים הבאים כדלהלן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uto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25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ירוצו מיום מעצרו </w:t>
      </w:r>
      <w:r>
        <w:rPr>
          <w:rFonts w:cs="David" w:ascii="David" w:hAnsi="David"/>
          <w:color w:val="000000"/>
        </w:rPr>
        <w:t>11.1.23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  לא ירצה עונש זה אלא אם יעבור בתוך שלוש שנים מיום שחרורו מהמאסר על כל עבירת נשק מסוג פשע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12"/>
          <w:szCs w:val="12"/>
        </w:rPr>
      </w:pPr>
      <w:r>
        <w:rPr>
          <w:rFonts w:cs="David" w:ascii="David" w:hAnsi="David"/>
          <w:color w:val="000000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</w:t>
      </w:r>
      <w:r>
        <w:rPr>
          <w:rFonts w:ascii="David" w:hAnsi="David"/>
          <w:color w:val="000000"/>
          <w:rtl w:val="true"/>
        </w:rPr>
        <w:t>נאשם לא ירצה עונש זה אלא יעבור בתוך שלוש שנים מיום שחרורו מהמאסר על כל עבירת נשק מסוג עוון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start="785" w:end="0"/>
        <w:jc w:val="both"/>
        <w:rPr>
          <w:rFonts w:ascii="David" w:hAnsi="David" w:cs="David"/>
          <w:color w:val="000000"/>
          <w:sz w:val="14"/>
          <w:szCs w:val="14"/>
        </w:rPr>
      </w:pPr>
      <w:r>
        <w:rPr>
          <w:rFonts w:cs="David" w:ascii="David" w:hAnsi="David"/>
          <w:color w:val="000000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785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קנס בסך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</w:rPr>
        <w:t>,000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>או חודש מאסר תמורתו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הקנס ישולם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תשלומים שווים ורצופים החל מיום </w:t>
      </w:r>
      <w:r>
        <w:rPr>
          <w:rFonts w:cs="David" w:ascii="David" w:hAnsi="David"/>
          <w:color w:val="000000"/>
        </w:rPr>
        <w:t>1.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</w:rPr>
        <w:t>.24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 ה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לחודש שלאחריו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ישולם תשלום במועדו או במלואו תעמוד יתרת הקנס לפירעון מיידי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start="785" w:end="0"/>
        <w:jc w:val="both"/>
        <w:rPr>
          <w:rFonts w:ascii="David" w:hAnsi="David" w:cs="David"/>
          <w:color w:val="000000"/>
          <w:sz w:val="14"/>
          <w:szCs w:val="14"/>
        </w:rPr>
      </w:pPr>
      <w:r>
        <w:rPr>
          <w:rFonts w:cs="David" w:ascii="David" w:hAnsi="David"/>
          <w:color w:val="000000"/>
          <w:sz w:val="14"/>
          <w:szCs w:val="14"/>
          <w:rtl w:val="true"/>
        </w:rPr>
      </w:r>
    </w:p>
    <w:p>
      <w:pPr>
        <w:pStyle w:val="Normal"/>
        <w:shd w:fill="FFFFFF" w:val="clear"/>
        <w:spacing w:lineRule="atLeast" w:line="360"/>
        <w:ind w:end="0"/>
        <w:jc w:val="both"/>
        <w:rPr/>
      </w:pPr>
      <w:r>
        <w:rPr>
          <w:rFonts w:ascii="David" w:hAnsi="David"/>
          <w:color w:val="000000"/>
          <w:rtl w:val="true"/>
        </w:rPr>
        <w:t xml:space="preserve">אני מורה על </w:t>
      </w:r>
      <w:r>
        <w:rPr>
          <w:rFonts w:ascii="David" w:hAnsi="David"/>
          <w:rtl w:val="true"/>
        </w:rPr>
        <w:t>חילוט או השמדת הנשק בהתאם להחלטת הרשם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start="785" w:end="0"/>
        <w:jc w:val="both"/>
        <w:rPr>
          <w:rFonts w:ascii="David" w:hAnsi="David" w:cs="David"/>
          <w:color w:val="000000"/>
          <w:sz w:val="6"/>
          <w:szCs w:val="6"/>
        </w:rPr>
      </w:pPr>
      <w:r>
        <w:rPr>
          <w:rFonts w:cs="David" w:ascii="David" w:hAnsi="David"/>
          <w:color w:val="000000"/>
          <w:sz w:val="6"/>
          <w:szCs w:val="6"/>
          <w:rtl w:val="true"/>
        </w:rPr>
      </w:r>
    </w:p>
    <w:p>
      <w:pPr>
        <w:pStyle w:val="Normal"/>
        <w:shd w:fill="FFFFFF" w:val="clear"/>
        <w:spacing w:lineRule="atLeast" w:line="360"/>
        <w:ind w:end="0"/>
        <w:jc w:val="both"/>
        <w:rPr>
          <w:sz w:val="12"/>
          <w:szCs w:val="12"/>
        </w:rPr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tl w:val="true"/>
        </w:rPr>
        <w:t xml:space="preserve">,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טיפול המותאמת לצרכיו במסגרת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העתק גזר הדין ישלח לשירות המבחן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יום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</w:t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54202-01-23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עמנואל מנגיסטו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210" w:hanging="360"/>
      </w:pPr>
      <w:rPr>
        <w:sz w:val="24"/>
        <w:szCs w:val="24"/>
        <w:lang w:bidi="he-IL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85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sz w:val="24"/>
      <w:szCs w:val="24"/>
      <w:lang w:bidi="he-IL"/>
    </w:rPr>
  </w:style>
  <w:style w:type="character" w:styleId="WW8Num1z1">
    <w:name w:val="WW8Num1z1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.3" TargetMode="External"/><Relationship Id="rId7" Type="http://schemas.openxmlformats.org/officeDocument/2006/relationships/hyperlink" Target="http://www.nevo.co.il/law/70301/144.g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c.3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4.b" TargetMode="External"/><Relationship Id="rId12" Type="http://schemas.openxmlformats.org/officeDocument/2006/relationships/hyperlink" Target="http://www.nevo.co.il/law/70301/144.c.3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case/5699080" TargetMode="External"/><Relationship Id="rId15" Type="http://schemas.openxmlformats.org/officeDocument/2006/relationships/hyperlink" Target="http://www.nevo.co.il/case/13023134" TargetMode="External"/><Relationship Id="rId16" Type="http://schemas.openxmlformats.org/officeDocument/2006/relationships/hyperlink" Target="http://www.nevo.co.il/case/8471804" TargetMode="External"/><Relationship Id="rId17" Type="http://schemas.openxmlformats.org/officeDocument/2006/relationships/hyperlink" Target="http://www.nevo.co.il/case/20775010" TargetMode="External"/><Relationship Id="rId18" Type="http://schemas.openxmlformats.org/officeDocument/2006/relationships/hyperlink" Target="http://www.nevo.co.il/case/21771409" TargetMode="External"/><Relationship Id="rId19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case/29486731" TargetMode="External"/><Relationship Id="rId21" Type="http://schemas.openxmlformats.org/officeDocument/2006/relationships/hyperlink" Target="http://www.nevo.co.il/case/27915710" TargetMode="External"/><Relationship Id="rId22" Type="http://schemas.openxmlformats.org/officeDocument/2006/relationships/hyperlink" Target="http://www.nevo.co.il/case/27734980" TargetMode="External"/><Relationship Id="rId23" Type="http://schemas.openxmlformats.org/officeDocument/2006/relationships/hyperlink" Target="http://www.nevo.co.il/case/28697218" TargetMode="External"/><Relationship Id="rId24" Type="http://schemas.openxmlformats.org/officeDocument/2006/relationships/hyperlink" Target="http://www.nevo.co.il/case/25940943" TargetMode="External"/><Relationship Id="rId25" Type="http://schemas.openxmlformats.org/officeDocument/2006/relationships/hyperlink" Target="http://www.nevo.co.il/case/26492590" TargetMode="External"/><Relationship Id="rId26" Type="http://schemas.openxmlformats.org/officeDocument/2006/relationships/hyperlink" Target="http://www.nevo.co.il/case/26986954" TargetMode="External"/><Relationship Id="rId27" Type="http://schemas.openxmlformats.org/officeDocument/2006/relationships/hyperlink" Target="http://www.nevo.co.il/case/26630169" TargetMode="External"/><Relationship Id="rId28" Type="http://schemas.openxmlformats.org/officeDocument/2006/relationships/hyperlink" Target="http://www.nevo.co.il/case/28883087" TargetMode="External"/><Relationship Id="rId29" Type="http://schemas.openxmlformats.org/officeDocument/2006/relationships/hyperlink" Target="http://www.nevo.co.il/law/70301/144.g" TargetMode="External"/><Relationship Id="rId30" Type="http://schemas.openxmlformats.org/officeDocument/2006/relationships/hyperlink" Target="http://www.nevo.co.il/case/28677187" TargetMode="External"/><Relationship Id="rId31" Type="http://schemas.openxmlformats.org/officeDocument/2006/relationships/hyperlink" Target="http://www.nevo.co.il/case/6473037" TargetMode="External"/><Relationship Id="rId32" Type="http://schemas.openxmlformats.org/officeDocument/2006/relationships/hyperlink" Target="http://www.nevo.co.il/case/10499511" TargetMode="External"/><Relationship Id="rId33" Type="http://schemas.openxmlformats.org/officeDocument/2006/relationships/hyperlink" Target="http://www.nevo.co.il/case/2776733" TargetMode="External"/><Relationship Id="rId34" Type="http://schemas.openxmlformats.org/officeDocument/2006/relationships/hyperlink" Target="http://www.nevo.co.il/case/5419778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2023-11-06T02:01:00Z</dcterms:created>
  <dc:creator> </dc:creator>
  <dc:description/>
  <cp:keywords/>
  <dc:language>en-IL</dc:language>
  <cp:lastModifiedBy>h9</cp:lastModifiedBy>
  <dcterms:modified xsi:type="dcterms:W3CDTF">2023-11-06T02:01:00Z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עמנואל מנגיסטו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5699080;13023134;8471804;20775010;21771409;6473037:2;29486731;27915710;27734980;28697218;25940943;26492590;26986954;26630169;28883087;28677187;10499511;2776733;5419778</vt:lpwstr>
  </property>
  <property fmtid="{D5CDD505-2E9C-101B-9397-08002B2CF9AE}" pid="9" name="CITY">
    <vt:lpwstr>י-ם</vt:lpwstr>
  </property>
  <property fmtid="{D5CDD505-2E9C-101B-9397-08002B2CF9AE}" pid="10" name="DATE">
    <vt:lpwstr>20231022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70301/144.b2;144.c.3:2;044.b;040b;144.g</vt:lpwstr>
  </property>
  <property fmtid="{D5CDD505-2E9C-101B-9397-08002B2CF9AE}" pid="15" name="LAWYER">
    <vt:lpwstr>שי עציון;מיכאל עירוני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54202</vt:lpwstr>
  </property>
  <property fmtid="{D5CDD505-2E9C-101B-9397-08002B2CF9AE}" pid="23" name="NEWPARTB">
    <vt:lpwstr>01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20231029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390120231022</vt:lpwstr>
  </property>
  <property fmtid="{D5CDD505-2E9C-101B-9397-08002B2CF9AE}" pid="69" name="TYPE_N_DATE">
    <vt:lpwstr>39020231022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