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54308-12-18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סועאד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השופט אברהם אליקים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סגן נשיא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סועאד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1.2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מבוא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  <w:u w:val="single"/>
        </w:rPr>
      </w:pPr>
      <w:bookmarkStart w:id="6" w:name="ABSTRACT_START"/>
      <w:bookmarkEnd w:id="6"/>
      <w:r>
        <w:rPr>
          <w:rFonts w:ascii="FrankRuehl" w:hAnsi="FrankRuehl"/>
          <w:sz w:val="28"/>
          <w:sz w:val="28"/>
          <w:rtl w:val="true"/>
        </w:rPr>
        <w:t xml:space="preserve">הנאשם הורשע על פי הודאתו בעובדות כתב אישום שתוקן במסגרת  הסדר טיעון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ההסדר סומן א וכתב האישום המתוקן סומן ב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>בין הצדדים  אין הסכמה לעניין העונש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ascii="FrankRuehl" w:hAnsi="FrankRuehl"/>
          <w:sz w:val="28"/>
          <w:sz w:val="28"/>
          <w:rtl w:val="true"/>
        </w:rPr>
        <w:t>על פי עובדות כתב האישום המתוקן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בין הנאשם לבין בנו של המתלונן היה סכסוך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הנאשם חשד כי בנו של המתלונן ירה על רכבו ולכן החליט לנקום במשפחת המתלונן</w:t>
      </w:r>
      <w:r>
        <w:rPr>
          <w:rFonts w:cs="FrankRuehl" w:ascii="FrankRuehl" w:hAnsi="FrankRuehl"/>
          <w:sz w:val="28"/>
          <w:rtl w:val="true"/>
        </w:rPr>
        <w:t xml:space="preserve">.  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  <w:bookmarkStart w:id="7" w:name="ABSTRACT_END"/>
      <w:bookmarkStart w:id="8" w:name="ABSTRACT_END"/>
      <w:bookmarkEnd w:id="8"/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ascii="FrankRuehl" w:hAnsi="FrankRuehl"/>
          <w:sz w:val="28"/>
          <w:sz w:val="28"/>
          <w:rtl w:val="true"/>
        </w:rPr>
        <w:t>הנאשם קשר קשר עם אחר שזהותו לא ידועה כדי לבצע ירי בסמוך לבית משפחת המתלונן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להשליך על הבית רימון הלם בזמן שבני המשפחה נמצאים בבית ולהצית את רכבי המשפחה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בהתאם לכך הצטיידו השניים באקדח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מחסנית וכדורים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רמון הלם ומיכל בנזין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ascii="FrankRuehl" w:hAnsi="FrankRuehl"/>
          <w:sz w:val="28"/>
          <w:sz w:val="28"/>
          <w:rtl w:val="true"/>
        </w:rPr>
        <w:t xml:space="preserve">בתאריך </w:t>
      </w:r>
      <w:r>
        <w:rPr>
          <w:rFonts w:cs="FrankRuehl" w:ascii="FrankRuehl" w:hAnsi="FrankRuehl"/>
          <w:sz w:val="28"/>
        </w:rPr>
        <w:t>5.12.2018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סמוך לשעה </w:t>
      </w:r>
      <w:r>
        <w:rPr>
          <w:rFonts w:cs="FrankRuehl" w:ascii="FrankRuehl" w:hAnsi="FrankRuehl"/>
          <w:sz w:val="28"/>
        </w:rPr>
        <w:t>00:00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הגיעו השניים לביתו של המתלונן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הם שפכו בנזין על רכבו של המתלונן ועל רכבה של בת המתלונן ש</w:t>
      </w:r>
      <w:r>
        <w:rPr>
          <w:rFonts w:ascii="FrankRuehl" w:hAnsi="FrankRuehl"/>
          <w:sz w:val="28"/>
          <w:sz w:val="28"/>
          <w:rtl w:val="true"/>
        </w:rPr>
        <w:t>עמדו</w:t>
      </w:r>
      <w:r>
        <w:rPr>
          <w:rFonts w:ascii="FrankRuehl" w:hAnsi="FrankRuehl"/>
          <w:sz w:val="28"/>
          <w:sz w:val="28"/>
          <w:rtl w:val="true"/>
        </w:rPr>
        <w:t xml:space="preserve"> בצמוד לגדר המקיפה את חצר הבית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לאחר מכן הציתו את רכבו של המתלונן וניסו ללא הצלחה להצית את רכבה של הבת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ascii="FrankRuehl" w:hAnsi="FrankRuehl"/>
          <w:sz w:val="28"/>
          <w:sz w:val="28"/>
          <w:rtl w:val="true"/>
        </w:rPr>
        <w:t>מיד לאחר מכן ירה האחר מספר כדורים לעבר ביתו של המתלונן שם שהו המתלונן ובני משפחתו באופן שיש בו כדי לסכן חיי אדם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שני כדורים חדרו לבית ופגעו בחלון המטבח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ארון המטבח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חלון חדר השינה  ומשקוף דלת חדר השינה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שם ישנה אשתו של המתלונן באותה עת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הנאשם </w:t>
      </w:r>
      <w:r>
        <w:rPr>
          <w:rFonts w:ascii="FrankRuehl" w:hAnsi="FrankRuehl"/>
          <w:sz w:val="28"/>
          <w:sz w:val="28"/>
          <w:rtl w:val="true"/>
        </w:rPr>
        <w:t>וה</w:t>
      </w:r>
      <w:r>
        <w:rPr>
          <w:rFonts w:ascii="FrankRuehl" w:hAnsi="FrankRuehl"/>
          <w:sz w:val="28"/>
          <w:sz w:val="28"/>
          <w:rtl w:val="true"/>
        </w:rPr>
        <w:t>אחר אספו חלק מהתרמילים שנפלו על הקרקע ובסיום ביצוע הירי יידו השניים רימון הלם לעבר הכניסה לחצר הבית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הרימון גרם לקול נפץ עז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ascii="FrankRuehl" w:hAnsi="FrankRuehl"/>
          <w:sz w:val="28"/>
          <w:sz w:val="28"/>
          <w:rtl w:val="true"/>
        </w:rPr>
        <w:t>בהתאם לכך הורשע הנאשם בעבירה של ניסיון לחבלה חמורה בצוותא</w:t>
      </w:r>
      <w:r>
        <w:rPr>
          <w:rFonts w:cs="FrankRuehl" w:ascii="FrankRuehl" w:hAnsi="FrankRuehl"/>
          <w:sz w:val="28"/>
          <w:rtl w:val="true"/>
        </w:rPr>
        <w:t xml:space="preserve">- </w:t>
      </w:r>
      <w:r>
        <w:rPr>
          <w:rFonts w:ascii="FrankRuehl" w:hAnsi="FrankRuehl"/>
          <w:sz w:val="28"/>
          <w:sz w:val="28"/>
          <w:rtl w:val="true"/>
        </w:rPr>
        <w:t>עבירה לפי סעיפים</w:t>
      </w:r>
      <w:r>
        <w:rPr>
          <w:rFonts w:cs="FrankRuehl" w:ascii="FrankRuehl" w:hAnsi="FrankRuehl"/>
          <w:sz w:val="28"/>
          <w:rtl w:val="true"/>
        </w:rPr>
        <w:t xml:space="preserve">: </w:t>
      </w:r>
      <w:hyperlink r:id="rId14"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333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ל</w:t>
      </w:r>
      <w:hyperlink r:id="rId15">
        <w:r>
          <w:rPr>
            <w:rStyle w:val="Hyperlink"/>
            <w:rFonts w:ascii="Miriam" w:hAnsi="Miriam" w:cs="Miriam"/>
            <w:color w:val="0000FF"/>
            <w:szCs w:val="24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התשל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ז</w:t>
      </w:r>
      <w:r>
        <w:rPr>
          <w:rFonts w:cs="Miriam" w:ascii="Miriam" w:hAnsi="Miriam"/>
          <w:szCs w:val="24"/>
          <w:rtl w:val="true"/>
        </w:rPr>
        <w:t xml:space="preserve">- </w:t>
      </w:r>
      <w:r>
        <w:rPr>
          <w:rFonts w:cs="Miriam" w:ascii="Miriam" w:hAnsi="Miriam"/>
          <w:szCs w:val="24"/>
        </w:rPr>
        <w:t>1977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להלן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החוק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 xml:space="preserve">הצתה בצוותא עבירה לפי סעיפים </w:t>
      </w:r>
      <w:r>
        <w:rPr>
          <w:rFonts w:cs="FrankRuehl" w:ascii="FrankRuehl" w:hAnsi="FrankRuehl"/>
          <w:sz w:val="28"/>
        </w:rPr>
        <w:t>29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448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רישא לחוק</w:t>
      </w:r>
      <w:r>
        <w:rPr>
          <w:rFonts w:cs="FrankRuehl" w:ascii="FrankRuehl" w:hAnsi="FrankRuehl"/>
          <w:sz w:val="28"/>
          <w:rtl w:val="true"/>
        </w:rPr>
        <w:t xml:space="preserve">,  </w:t>
      </w:r>
      <w:r>
        <w:rPr>
          <w:rFonts w:ascii="FrankRuehl" w:hAnsi="FrankRuehl"/>
          <w:sz w:val="28"/>
          <w:sz w:val="28"/>
          <w:rtl w:val="true"/>
        </w:rPr>
        <w:t>ניסיון הצתה בצוותא עבירה לפי סעיפים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cs="FrankRuehl" w:ascii="FrankRuehl" w:hAnsi="FrankRuehl"/>
          <w:sz w:val="28"/>
        </w:rPr>
        <w:t>448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ריש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cs="FrankRuehl" w:ascii="FrankRuehl" w:hAnsi="FrankRuehl"/>
          <w:sz w:val="28"/>
        </w:rPr>
        <w:t>25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29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 ועבירה של נשיאה והובלה של נשק שלא כדין בצוותא –עבירה לפי סעיפים</w:t>
      </w:r>
      <w:r>
        <w:rPr>
          <w:rFonts w:ascii="FrankRuehl" w:hAnsi="FrankRuehl"/>
          <w:sz w:val="28"/>
          <w:sz w:val="28"/>
          <w:rtl w:val="true"/>
        </w:rPr>
        <w:t xml:space="preserve">       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hyperlink r:id="rId16"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רישה וסיפה לחוק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ascii="FrankRuehl" w:hAnsi="FrankRuehl"/>
          <w:sz w:val="28"/>
          <w:sz w:val="28"/>
          <w:rtl w:val="true"/>
        </w:rPr>
        <w:t>כחלק מהסדר הטיעון  ובשל גילו של הנאשם שירות המבחן התבקש להכין תסקיר לעניין  העונש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בנוס</w:t>
      </w:r>
      <w:r>
        <w:rPr>
          <w:rFonts w:ascii="FrankRuehl" w:hAnsi="FrankRuehl"/>
          <w:sz w:val="28"/>
          <w:sz w:val="28"/>
          <w:rtl w:val="true"/>
        </w:rPr>
        <w:t>ף</w:t>
      </w:r>
      <w:r>
        <w:rPr>
          <w:rFonts w:ascii="FrankRuehl" w:hAnsi="FrankRuehl"/>
          <w:sz w:val="28"/>
          <w:sz w:val="28"/>
          <w:rtl w:val="true"/>
        </w:rPr>
        <w:t xml:space="preserve"> הוכן תסקיר נפגע העבירה</w:t>
      </w:r>
      <w:r>
        <w:rPr>
          <w:rFonts w:cs="FrankRuehl" w:ascii="FrankRuehl" w:hAnsi="FrankRuehl"/>
          <w:sz w:val="28"/>
          <w:rtl w:val="true"/>
        </w:rPr>
        <w:t xml:space="preserve">.  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ascii="FrankRuehl" w:hAnsi="FrankRuehl"/>
          <w:sz w:val="28"/>
          <w:sz w:val="28"/>
          <w:rtl w:val="true"/>
        </w:rPr>
        <w:t xml:space="preserve">לנאשם אין הרשעות קודמות והצדדים לא הציגו ראיות לעניין העונש למעט הסכם סולחה שנערך בין משפחת הנאשם לבין משפחת המתלונן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ס</w:t>
      </w:r>
      <w:r>
        <w:rPr>
          <w:rFonts w:cs="FrankRuehl" w:ascii="FrankRuehl" w:hAnsi="FrankRuehl"/>
          <w:sz w:val="28"/>
          <w:rtl w:val="true"/>
        </w:rPr>
        <w:t>/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>).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תסקיר שירות המבחן</w:t>
      </w:r>
      <w:r>
        <w:rPr>
          <w:rFonts w:cs="Miriam" w:ascii="Miriam" w:hAnsi="Miriam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ascii="FrankRuehl" w:hAnsi="FrankRuehl"/>
          <w:sz w:val="28"/>
          <w:sz w:val="28"/>
          <w:rtl w:val="true"/>
        </w:rPr>
        <w:t>קצינת המבחן  התרשמה כי הליך טיפולי לא יביא להפחתת מסוכנותו של הנאשם</w:t>
      </w:r>
      <w:r>
        <w:rPr>
          <w:rFonts w:cs="FrankRuehl" w:ascii="FrankRuehl" w:hAnsi="FrankRuehl"/>
          <w:sz w:val="28"/>
          <w:rtl w:val="true"/>
        </w:rPr>
        <w:t xml:space="preserve">,  </w:t>
      </w:r>
      <w:r>
        <w:rPr>
          <w:rFonts w:ascii="FrankRuehl" w:hAnsi="FrankRuehl"/>
          <w:sz w:val="28"/>
          <w:sz w:val="28"/>
          <w:rtl w:val="true"/>
        </w:rPr>
        <w:t>וכי יש סיכון משמעותי להישנות התנהגות פורצת חוק מצדו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>להערכתה הנאשם מתקשה לקבל אחריות מלאה על הבעייתיות שבהתנהגותו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הוא נתון ללחצים חברתיים ומתקשה לזהות מצבי סיכון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מאחר ובפני קצינת המבחן חזר בו הנאשם מהודאתו בקיום </w:t>
      </w:r>
      <w:r>
        <w:rPr>
          <w:rFonts w:ascii="FrankRuehl" w:hAnsi="FrankRuehl"/>
          <w:sz w:val="28"/>
          <w:sz w:val="28"/>
          <w:rtl w:val="true"/>
        </w:rPr>
        <w:t xml:space="preserve">רצון מראש </w:t>
      </w:r>
      <w:r>
        <w:rPr>
          <w:rFonts w:ascii="FrankRuehl" w:hAnsi="FrankRuehl"/>
          <w:sz w:val="28"/>
          <w:sz w:val="28"/>
          <w:rtl w:val="true"/>
        </w:rPr>
        <w:t>לירות  לעבר בית המתלונן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בפתח הדיון האחרון קראתי בפניו את סעיף </w:t>
      </w: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לכתב האישום המתוקן והוא שב והודה בכל המיוחס לו בכתב האישום המתוקן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 xml:space="preserve">תסקיר נפגע העבירה והסכם הסולחה </w:t>
      </w:r>
      <w:r>
        <w:rPr>
          <w:rFonts w:cs="Miriam" w:ascii="Miriam" w:hAnsi="Miriam"/>
          <w:szCs w:val="24"/>
          <w:rtl w:val="true"/>
        </w:rPr>
        <w:t>(</w:t>
      </w:r>
      <w:r>
        <w:rPr>
          <w:rFonts w:ascii="Miriam" w:hAnsi="Miriam" w:cs="Miriam"/>
          <w:szCs w:val="24"/>
          <w:rtl w:val="true"/>
        </w:rPr>
        <w:t>ס</w:t>
      </w:r>
      <w:r>
        <w:rPr>
          <w:rFonts w:cs="Miriam" w:ascii="Miriam" w:hAnsi="Miriam"/>
          <w:szCs w:val="24"/>
          <w:rtl w:val="true"/>
        </w:rPr>
        <w:t>/</w:t>
      </w:r>
      <w:r>
        <w:rPr>
          <w:rFonts w:cs="Miriam" w:ascii="Miriam" w:hAnsi="Miriam"/>
          <w:szCs w:val="24"/>
        </w:rPr>
        <w:t>1</w:t>
      </w:r>
      <w:r>
        <w:rPr>
          <w:rFonts w:cs="Miriam" w:ascii="Miriam" w:hAnsi="Miriam"/>
          <w:szCs w:val="24"/>
          <w:rtl w:val="true"/>
        </w:rPr>
        <w:t>)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המתלונן תאר באריכות את הפגיעות שנפגעו הוא ובני משפחתו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לרבות נזקים כספיים שנגרמו להם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הוא הסביר כי כיום אינו חש כעס כלפי הנאשם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נערך הסכם סולחה בין המשפחות והוא הדגיש כי ויתר על פיצוי כספי בגין הנזקים שגרם הנאשם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תוכן הסכם הסולחה  ס</w:t>
      </w:r>
      <w:r>
        <w:rPr>
          <w:rFonts w:cs="FrankRuehl" w:ascii="FrankRuehl" w:hAnsi="FrankRuehl"/>
          <w:sz w:val="28"/>
          <w:rtl w:val="true"/>
        </w:rPr>
        <w:t>/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תואם את דבריו</w:t>
      </w:r>
      <w:r>
        <w:rPr>
          <w:rFonts w:cs="FrankRuehl" w:ascii="FrankRuehl" w:hAnsi="FrankRuehl"/>
          <w:sz w:val="28"/>
          <w:rtl w:val="true"/>
        </w:rPr>
        <w:t xml:space="preserve">).  </w:t>
      </w:r>
      <w:r>
        <w:rPr>
          <w:rFonts w:ascii="FrankRuehl" w:hAnsi="FrankRuehl"/>
          <w:sz w:val="28"/>
          <w:sz w:val="28"/>
          <w:rtl w:val="true"/>
        </w:rPr>
        <w:t>המתלונן הבהיר כי הוא מייחס משמעות להסכם הסולחה בשל ההכרה בפגיעה בו ומתן כבוד לו ולמשפחתו</w:t>
      </w:r>
      <w:r>
        <w:rPr>
          <w:rFonts w:cs="FrankRuehl" w:ascii="FrankRuehl" w:hAnsi="FrankRuehl"/>
          <w:sz w:val="28"/>
          <w:rtl w:val="true"/>
        </w:rPr>
        <w:t xml:space="preserve">.   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ascii="FrankRuehl" w:hAnsi="FrankRuehl"/>
          <w:sz w:val="28"/>
          <w:sz w:val="28"/>
          <w:rtl w:val="true"/>
        </w:rPr>
        <w:t>עורכת התסקיר המליצה שבין יתר רכיבי הענישה יוטל על הנאשם פיצוי כספי משמעותי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תמצית טענות הצדדים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כ המאשימה בטיעוניו בכתב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ט</w:t>
      </w:r>
      <w:r>
        <w:rPr>
          <w:rFonts w:cs="FrankRuehl" w:ascii="FrankRuehl" w:hAnsi="FrankRuehl"/>
          <w:sz w:val="28"/>
          <w:rtl w:val="true"/>
        </w:rPr>
        <w:t>/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>ובעל פה ביקש לראות במעשים אירוע אחד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לקבוע מתחם עונש הולם שבין </w:t>
      </w:r>
      <w:r>
        <w:rPr>
          <w:rFonts w:cs="FrankRuehl" w:ascii="FrankRuehl" w:hAnsi="FrankRuehl"/>
          <w:sz w:val="28"/>
        </w:rPr>
        <w:t>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שנות מאסר בפועל</w:t>
      </w:r>
      <w:r>
        <w:rPr>
          <w:rFonts w:cs="FrankRuehl" w:ascii="FrankRuehl" w:hAnsi="FrankRuehl"/>
          <w:sz w:val="28"/>
          <w:rtl w:val="true"/>
        </w:rPr>
        <w:t xml:space="preserve">,  </w:t>
      </w:r>
      <w:r>
        <w:rPr>
          <w:rFonts w:ascii="FrankRuehl" w:hAnsi="FrankRuehl"/>
          <w:sz w:val="28"/>
          <w:sz w:val="28"/>
          <w:rtl w:val="true"/>
        </w:rPr>
        <w:t>להטיל על הנאשם עונש  מאסר בפועל בתוך המתחם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ביחד עם מאסר מותנה ופיצוי למתלוננים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בטיעוניו הפנה לפסקי דין שונים של בית משפט מחוזי ובית המשפט העליון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הן באשר למדיניות הענישה בעבירות  בנשק </w:t>
      </w:r>
      <w:r>
        <w:rPr>
          <w:rFonts w:ascii="FrankRuehl" w:hAnsi="FrankRuehl"/>
          <w:sz w:val="28"/>
          <w:sz w:val="28"/>
          <w:rtl w:val="true"/>
        </w:rPr>
        <w:t xml:space="preserve">ובכלל זה  </w:t>
      </w:r>
      <w:r>
        <w:rPr>
          <w:rFonts w:ascii="FrankRuehl" w:hAnsi="FrankRuehl"/>
          <w:sz w:val="28"/>
          <w:sz w:val="28"/>
          <w:rtl w:val="true"/>
        </w:rPr>
        <w:t>ירי באזור מגורים והן באשר לעבירות הצתה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>חלק</w:t>
      </w:r>
      <w:r>
        <w:rPr>
          <w:rFonts w:ascii="FrankRuehl" w:hAnsi="FrankRuehl"/>
          <w:sz w:val="28"/>
          <w:sz w:val="28"/>
          <w:rtl w:val="true"/>
        </w:rPr>
        <w:t xml:space="preserve"> מפסקי הדין התייחסו </w:t>
      </w:r>
      <w:r>
        <w:rPr>
          <w:rFonts w:ascii="FrankRuehl" w:hAnsi="FrankRuehl"/>
          <w:sz w:val="28"/>
          <w:sz w:val="28"/>
          <w:rtl w:val="true"/>
        </w:rPr>
        <w:t>לעבירות חמורות יותר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העונשים שנגזרו במקרים המתאימים לטענת ב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כ המאשימ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עמדו </w:t>
      </w:r>
      <w:r>
        <w:rPr>
          <w:rFonts w:ascii="FrankRuehl" w:hAnsi="FrankRuehl"/>
          <w:sz w:val="28"/>
          <w:sz w:val="28"/>
          <w:rtl w:val="true"/>
        </w:rPr>
        <w:t xml:space="preserve">על </w:t>
      </w: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או </w:t>
      </w:r>
      <w:r>
        <w:rPr>
          <w:rFonts w:cs="FrankRuehl" w:ascii="FrankRuehl" w:hAnsi="FrankRuehl"/>
          <w:sz w:val="28"/>
        </w:rPr>
        <w:t>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שנות מאסר בפועל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עוד  הפנה לתסקיר נפגעי העבירה לפיו בנוסף למתלונן נפגעו אשתו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בנותיו ונכדיו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הסנגור ביקש  לראות בכל המעשים אירוע אחד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לקבוע מתחם עונש הולם שמתחיל בעונש מאסר לביצוע בעבודות שירות ולהסתפק במקרה זה בתקופת מעצרו של הנאשם ולא להטיל עליו עונש נוסף של מאסר מאחורי סו</w:t>
      </w:r>
      <w:r>
        <w:rPr>
          <w:rFonts w:ascii="FrankRuehl" w:hAnsi="FrankRuehl"/>
          <w:sz w:val="28"/>
          <w:sz w:val="28"/>
          <w:rtl w:val="true"/>
        </w:rPr>
        <w:t>ר</w:t>
      </w:r>
      <w:r>
        <w:rPr>
          <w:rFonts w:ascii="FrankRuehl" w:hAnsi="FrankRuehl"/>
          <w:sz w:val="28"/>
          <w:sz w:val="28"/>
          <w:rtl w:val="true"/>
        </w:rPr>
        <w:t>ג ובריח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בפתח טיעוניו הפנה להסכם הסולחה שנערך בין המשפחות ו</w:t>
      </w:r>
      <w:r>
        <w:rPr>
          <w:rFonts w:ascii="FrankRuehl" w:hAnsi="FrankRuehl"/>
          <w:sz w:val="28"/>
          <w:sz w:val="28"/>
          <w:rtl w:val="true"/>
        </w:rPr>
        <w:t>ל</w:t>
      </w:r>
      <w:r>
        <w:rPr>
          <w:rFonts w:ascii="FrankRuehl" w:hAnsi="FrankRuehl"/>
          <w:sz w:val="28"/>
          <w:sz w:val="28"/>
          <w:rtl w:val="true"/>
        </w:rPr>
        <w:t>הסכמת המתלונן שלא לקבל פיצוי נוסף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>עוד ב</w:t>
      </w:r>
      <w:r>
        <w:rPr>
          <w:rFonts w:ascii="FrankRuehl" w:hAnsi="FrankRuehl"/>
          <w:sz w:val="28"/>
          <w:sz w:val="28"/>
          <w:rtl w:val="true"/>
        </w:rPr>
        <w:t>י</w:t>
      </w:r>
      <w:r>
        <w:rPr>
          <w:rFonts w:ascii="FrankRuehl" w:hAnsi="FrankRuehl"/>
          <w:sz w:val="28"/>
          <w:sz w:val="28"/>
          <w:rtl w:val="true"/>
        </w:rPr>
        <w:t>קש להתחשב בעובדה כי הנאשם  בעת ביצוע העבירות היה מתחת ל</w:t>
      </w:r>
      <w:r>
        <w:rPr>
          <w:rFonts w:ascii="FrankRuehl" w:hAnsi="FrankRuehl"/>
          <w:sz w:val="28"/>
          <w:sz w:val="28"/>
          <w:rtl w:val="true"/>
        </w:rPr>
        <w:t xml:space="preserve">גיל </w:t>
      </w:r>
      <w:r>
        <w:rPr>
          <w:rFonts w:cs="FrankRuehl" w:ascii="FrankRuehl" w:hAnsi="FrankRuehl"/>
          <w:sz w:val="28"/>
        </w:rPr>
        <w:t>21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בגיר צעיר ללא עבר פלילי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הוא הודה בהזדמנות הראשונה מיד לאחר תיקון כתב האישום </w:t>
      </w:r>
      <w:r>
        <w:rPr>
          <w:rFonts w:ascii="FrankRuehl" w:hAnsi="FrankRuehl"/>
          <w:sz w:val="28"/>
          <w:sz w:val="28"/>
          <w:rtl w:val="true"/>
        </w:rPr>
        <w:t xml:space="preserve">והדגיש כי  </w:t>
      </w:r>
      <w:r>
        <w:rPr>
          <w:rFonts w:ascii="FrankRuehl" w:hAnsi="FrankRuehl"/>
          <w:sz w:val="28"/>
          <w:sz w:val="28"/>
          <w:rtl w:val="true"/>
        </w:rPr>
        <w:t>עבירות הנשק ביצע האדם האחר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אמנם הנאשם הורשע בביצוע בצוותא אבל הוא לא אחז בנשק ולא ירה בעצמו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368"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>לטענתו יש לזקוף לזכות</w:t>
      </w:r>
      <w:r>
        <w:rPr>
          <w:rFonts w:ascii="FrankRuehl" w:hAnsi="FrankRuehl"/>
          <w:sz w:val="28"/>
          <w:sz w:val="28"/>
          <w:rtl w:val="true"/>
        </w:rPr>
        <w:t xml:space="preserve"> הנאשם </w:t>
      </w:r>
      <w:r>
        <w:rPr>
          <w:rFonts w:ascii="FrankRuehl" w:hAnsi="FrankRuehl"/>
          <w:sz w:val="28"/>
          <w:sz w:val="28"/>
          <w:rtl w:val="true"/>
        </w:rPr>
        <w:t>את הודאתו שהביאה לחסכון זמן שיפוטי יקר ואת רצונו להביא את הסכסוך לכדי סיום בהסכם סולחה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>לעניין מדיניות הענישה איבחן הסנגור את פסקי הדין אליהם הפנה ב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כ המאשימה וטען כי הם התייחסו  לעבירות חמורות יותר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לתמיכה בטענותיו הפנה למקרה חמור יותר לטענתו בו נקבע מתחם ענישה שבין </w:t>
      </w:r>
      <w:r>
        <w:rPr>
          <w:rFonts w:cs="FrankRuehl" w:ascii="FrankRuehl" w:hAnsi="FrankRuehl"/>
          <w:sz w:val="28"/>
        </w:rPr>
        <w:t>10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לבין </w:t>
      </w:r>
      <w:r>
        <w:rPr>
          <w:rFonts w:cs="FrankRuehl" w:ascii="FrankRuehl" w:hAnsi="FrankRuehl"/>
          <w:sz w:val="28"/>
        </w:rPr>
        <w:t>30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 בפועל בעבירות בנשק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למקרה בו בגין עבירת הצתה נגזר על ידי בית המשפט המחוזי בחיפה עונש של </w:t>
      </w:r>
      <w:r>
        <w:rPr>
          <w:rFonts w:cs="FrankRuehl" w:ascii="FrankRuehl" w:hAnsi="FrankRuehl"/>
          <w:sz w:val="28"/>
        </w:rPr>
        <w:t>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חודשי </w:t>
      </w:r>
      <w:r>
        <w:rPr>
          <w:rFonts w:ascii="FrankRuehl" w:hAnsi="FrankRuehl"/>
          <w:sz w:val="28"/>
          <w:sz w:val="28"/>
          <w:rtl w:val="true"/>
        </w:rPr>
        <w:t>מאסר לביצוע ב</w:t>
      </w:r>
      <w:r>
        <w:rPr>
          <w:rFonts w:ascii="FrankRuehl" w:hAnsi="FrankRuehl"/>
          <w:sz w:val="28"/>
          <w:sz w:val="28"/>
          <w:rtl w:val="true"/>
        </w:rPr>
        <w:t>עבודות שירות ולסדרת מקרי אלימות בהם הסתפקו בתי משפט מחוזי בעונש של עבודות שירות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עוד ביקש להתייחס לפגיעה של העונש בנאשם ובמשפחתו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בתקופה הארוכה בה היה הנאשם מורחק מביתו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הנאשם </w:t>
      </w:r>
      <w:r>
        <w:rPr>
          <w:rFonts w:ascii="FrankRuehl" w:hAnsi="FrankRuehl"/>
          <w:sz w:val="28"/>
          <w:sz w:val="28"/>
          <w:rtl w:val="true"/>
        </w:rPr>
        <w:t>התארס ו</w:t>
      </w:r>
      <w:r>
        <w:rPr>
          <w:rFonts w:ascii="FrankRuehl" w:hAnsi="FrankRuehl"/>
          <w:sz w:val="28"/>
          <w:sz w:val="28"/>
          <w:rtl w:val="true"/>
        </w:rPr>
        <w:t xml:space="preserve">הוא עתיד </w:t>
      </w:r>
      <w:r>
        <w:rPr>
          <w:rFonts w:ascii="FrankRuehl" w:hAnsi="FrankRuehl"/>
          <w:sz w:val="28"/>
          <w:sz w:val="28"/>
          <w:rtl w:val="true"/>
        </w:rPr>
        <w:t>להתחתן בחודש ספטמבר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לנאשם לא היה עבר פלילי וממועד ביצוע העבירה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 xml:space="preserve">לפני </w:t>
      </w:r>
      <w:r>
        <w:rPr>
          <w:rFonts w:ascii="FrankRuehl" w:hAnsi="FrankRuehl"/>
          <w:sz w:val="28"/>
          <w:sz w:val="28"/>
          <w:rtl w:val="true"/>
        </w:rPr>
        <w:t xml:space="preserve">למעלה </w:t>
      </w:r>
      <w:r>
        <w:rPr>
          <w:rFonts w:ascii="FrankRuehl" w:hAnsi="FrankRuehl"/>
          <w:sz w:val="28"/>
          <w:sz w:val="28"/>
          <w:rtl w:val="true"/>
        </w:rPr>
        <w:t>משנה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>הוא</w:t>
      </w:r>
      <w:r>
        <w:rPr>
          <w:rFonts w:ascii="FrankRuehl" w:hAnsi="FrankRuehl"/>
          <w:sz w:val="28"/>
          <w:sz w:val="28"/>
          <w:rtl w:val="true"/>
        </w:rPr>
        <w:t xml:space="preserve"> לא</w:t>
      </w:r>
      <w:r>
        <w:rPr>
          <w:rFonts w:ascii="FrankRuehl" w:hAnsi="FrankRuehl"/>
          <w:sz w:val="28"/>
          <w:sz w:val="28"/>
          <w:rtl w:val="true"/>
        </w:rPr>
        <w:t xml:space="preserve"> ביצע עבירות אחרות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ולסיום ביקש לתת לנאשם </w:t>
      </w:r>
      <w:r>
        <w:rPr>
          <w:rFonts w:ascii="FrankRuehl" w:hAnsi="FrankRuehl"/>
          <w:sz w:val="28"/>
          <w:sz w:val="28"/>
          <w:rtl w:val="true"/>
        </w:rPr>
        <w:t>הזדמנות להשתקם</w:t>
      </w:r>
      <w:r>
        <w:rPr>
          <w:rFonts w:ascii="FrankRuehl" w:hAnsi="FrankRuehl"/>
          <w:sz w:val="28"/>
          <w:sz w:val="28"/>
          <w:rtl w:val="true"/>
        </w:rPr>
        <w:t xml:space="preserve"> ולא להכניסו לבית סוהר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שם קיים חשש להשפעה רעה עליו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>בתום הטיעונים  הנאשם הביע צער וחרטה על מעשיו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ביקש שתינתן לו הזדמנות לבנות את עתידו עם ארוסתו איתה הוא </w:t>
      </w:r>
      <w:r>
        <w:rPr>
          <w:rFonts w:ascii="FrankRuehl" w:hAnsi="FrankRuehl"/>
          <w:sz w:val="28"/>
          <w:sz w:val="28"/>
          <w:rtl w:val="true"/>
        </w:rPr>
        <w:t xml:space="preserve">עתיד </w:t>
      </w:r>
      <w:r>
        <w:rPr>
          <w:rFonts w:ascii="FrankRuehl" w:hAnsi="FrankRuehl"/>
          <w:sz w:val="28"/>
          <w:sz w:val="28"/>
          <w:rtl w:val="true"/>
        </w:rPr>
        <w:t>להתחתן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דיון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העיקרון המנחה בקביעת מתחם העונש הוא עיקרון ההלימה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שמשמעותו </w:t>
      </w:r>
      <w:r>
        <w:rPr>
          <w:rFonts w:cs="FrankRuehl" w:ascii="FrankRuehl" w:hAnsi="FrankRuehl"/>
          <w:b/>
          <w:sz w:val="28"/>
          <w:rtl w:val="true"/>
        </w:rPr>
        <w:t>"</w:t>
      </w:r>
      <w:r>
        <w:rPr>
          <w:rFonts w:ascii="FrankRuehl" w:hAnsi="FrankRuehl"/>
          <w:b/>
          <w:b/>
          <w:sz w:val="28"/>
          <w:sz w:val="28"/>
          <w:rtl w:val="true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FrankRuehl" w:ascii="FrankRuehl" w:hAnsi="FrankRuehl"/>
          <w:b/>
          <w:sz w:val="28"/>
          <w:rtl w:val="true"/>
        </w:rPr>
        <w:t>"</w:t>
      </w:r>
      <w:r>
        <w:rPr>
          <w:rFonts w:cs="FrankRuehl" w:ascii="FrankRuehl" w:hAnsi="FrankRuehl"/>
          <w:sz w:val="28"/>
          <w:rtl w:val="true"/>
        </w:rPr>
        <w:t xml:space="preserve"> (</w:t>
      </w:r>
      <w:hyperlink r:id="rId1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</w:t>
      </w:r>
      <w:r>
        <w:rPr>
          <w:rFonts w:cs="FrankRuehl" w:ascii="FrankRuehl" w:hAnsi="FrankRuehl"/>
          <w:sz w:val="28"/>
          <w:rtl w:val="true"/>
        </w:rPr>
        <w:t>).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מקובלת עליי עמדת שני הצדדים כי מדובר באירוע אח</w:t>
      </w:r>
      <w:r>
        <w:rPr>
          <w:rFonts w:ascii="FrankRuehl" w:hAnsi="FrankRuehl"/>
          <w:sz w:val="28"/>
          <w:sz w:val="28"/>
          <w:rtl w:val="true"/>
        </w:rPr>
        <w:t>ד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על פי עובדות כתב האישום המתוקן הנאשם קשר קשר עם אחר ובמהלך לילה בצעו השניים סדרת פעולות כחלק מתכנית עבריינית אחת ולכן אקבע מתחם עונש הולם אחד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pacing w:val="6"/>
          <w:sz w:val="28"/>
          <w:sz w:val="28"/>
          <w:rtl w:val="true"/>
        </w:rPr>
        <w:t>בעת</w:t>
      </w:r>
      <w:r>
        <w:rPr>
          <w:rFonts w:ascii="FrankRuehl" w:hAnsi="FrankRuehl"/>
          <w:sz w:val="28"/>
          <w:sz w:val="28"/>
          <w:rtl w:val="true"/>
        </w:rPr>
        <w:t xml:space="preserve"> קביעת גבולות המתחם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אתייחס לעובדה כי האירוע </w:t>
      </w:r>
      <w:r>
        <w:rPr>
          <w:rFonts w:ascii="FrankRuehl" w:hAnsi="FrankRuehl"/>
          <w:sz w:val="28"/>
          <w:sz w:val="28"/>
          <w:rtl w:val="true"/>
        </w:rPr>
        <w:t>מורכב מ</w:t>
      </w:r>
      <w:r>
        <w:rPr>
          <w:rFonts w:ascii="FrankRuehl" w:hAnsi="FrankRuehl"/>
          <w:sz w:val="28"/>
          <w:sz w:val="28"/>
          <w:rtl w:val="true"/>
        </w:rPr>
        <w:t>מספר מעשים</w:t>
      </w:r>
      <w:r>
        <w:rPr>
          <w:rFonts w:ascii="FrankRuehl" w:hAnsi="FrankRuehl"/>
          <w:sz w:val="28"/>
          <w:sz w:val="28"/>
          <w:rtl w:val="true"/>
        </w:rPr>
        <w:t xml:space="preserve"> פליליים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>במקרה זה נפגעו ב</w:t>
      </w:r>
      <w:r>
        <w:rPr>
          <w:rFonts w:ascii="FrankRuehl" w:hAnsi="FrankRuehl"/>
          <w:sz w:val="28"/>
          <w:sz w:val="28"/>
          <w:rtl w:val="true"/>
        </w:rPr>
        <w:t xml:space="preserve">מדרג </w:t>
      </w:r>
      <w:r>
        <w:rPr>
          <w:rFonts w:ascii="FrankRuehl" w:hAnsi="FrankRuehl"/>
          <w:sz w:val="28"/>
          <w:sz w:val="28"/>
          <w:rtl w:val="true"/>
        </w:rPr>
        <w:t>בינוני ערכים חברתיים משמעותיים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שמירה על שלום הציבור ובטחונו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הגנה על הרכוש וזכות הקניין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>חשוב לציין כי כל מעשה מהמעשים שביצע הנאשם הוא  חמור בפני עצמו ושילובם כחלק מתכנית בשלבים מ</w:t>
      </w:r>
      <w:r>
        <w:rPr>
          <w:rFonts w:ascii="FrankRuehl" w:hAnsi="FrankRuehl"/>
          <w:sz w:val="28"/>
          <w:sz w:val="28"/>
          <w:rtl w:val="true"/>
        </w:rPr>
        <w:t xml:space="preserve">עצים </w:t>
      </w:r>
      <w:r>
        <w:rPr>
          <w:rFonts w:ascii="FrankRuehl" w:hAnsi="FrankRuehl"/>
          <w:sz w:val="28"/>
          <w:sz w:val="28"/>
          <w:rtl w:val="true"/>
        </w:rPr>
        <w:t>את חומרתם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ירי לתוך בית מגורים ובכלל זה </w:t>
      </w:r>
      <w:r>
        <w:rPr>
          <w:rFonts w:ascii="FrankRuehl" w:hAnsi="FrankRuehl"/>
          <w:sz w:val="28"/>
          <w:sz w:val="28"/>
          <w:rtl w:val="true"/>
        </w:rPr>
        <w:t>ירי ל</w:t>
      </w:r>
      <w:r>
        <w:rPr>
          <w:rFonts w:ascii="FrankRuehl" w:hAnsi="FrankRuehl"/>
          <w:sz w:val="28"/>
          <w:sz w:val="28"/>
          <w:rtl w:val="true"/>
        </w:rPr>
        <w:t>חדר שינה בו ישנה אשת המתלונן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השל</w:t>
      </w:r>
      <w:r>
        <w:rPr>
          <w:rFonts w:ascii="FrankRuehl" w:hAnsi="FrankRuehl"/>
          <w:sz w:val="28"/>
          <w:sz w:val="28"/>
          <w:rtl w:val="true"/>
        </w:rPr>
        <w:t xml:space="preserve">כת </w:t>
      </w:r>
      <w:r>
        <w:rPr>
          <w:rFonts w:ascii="FrankRuehl" w:hAnsi="FrankRuehl"/>
          <w:sz w:val="28"/>
          <w:sz w:val="28"/>
          <w:rtl w:val="true"/>
        </w:rPr>
        <w:t>רימון הלם לעבר הכניסה לחצר ביתו של המתלונן</w:t>
      </w:r>
      <w:r>
        <w:rPr>
          <w:rFonts w:ascii="FrankRuehl" w:hAnsi="FrankRuehl"/>
          <w:sz w:val="28"/>
          <w:sz w:val="28"/>
          <w:rtl w:val="true"/>
        </w:rPr>
        <w:t xml:space="preserve"> סמוך לאחר הירי והצתת רכב נועדה להפחיד את </w:t>
      </w:r>
      <w:r>
        <w:rPr>
          <w:rFonts w:ascii="FrankRuehl" w:hAnsi="FrankRuehl"/>
          <w:sz w:val="28"/>
          <w:sz w:val="28"/>
          <w:rtl w:val="true"/>
        </w:rPr>
        <w:t>תושבי הבית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הנאשם  תכנן </w:t>
      </w:r>
      <w:r>
        <w:rPr>
          <w:rFonts w:ascii="FrankRuehl" w:hAnsi="FrankRuehl"/>
          <w:sz w:val="28"/>
          <w:sz w:val="28"/>
          <w:rtl w:val="true"/>
        </w:rPr>
        <w:t xml:space="preserve">את </w:t>
      </w:r>
      <w:r>
        <w:rPr>
          <w:rFonts w:ascii="FrankRuehl" w:hAnsi="FrankRuehl"/>
          <w:sz w:val="28"/>
          <w:sz w:val="28"/>
          <w:rtl w:val="true"/>
        </w:rPr>
        <w:t>מעשיו היטב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כך למשל </w:t>
      </w:r>
      <w:r>
        <w:rPr>
          <w:rFonts w:ascii="FrankRuehl" w:hAnsi="FrankRuehl"/>
          <w:sz w:val="28"/>
          <w:sz w:val="28"/>
          <w:rtl w:val="true"/>
        </w:rPr>
        <w:t xml:space="preserve">לאחר ביצוע הירי ובהתאם למתואר בסעיף </w:t>
      </w:r>
      <w:r>
        <w:rPr>
          <w:rFonts w:cs="FrankRuehl" w:ascii="FrankRuehl" w:hAnsi="FrankRuehl"/>
          <w:sz w:val="28"/>
        </w:rPr>
        <w:t>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לעובדות כתב האישום המתוקן ה</w:t>
      </w:r>
      <w:r>
        <w:rPr>
          <w:rFonts w:ascii="FrankRuehl" w:hAnsi="FrankRuehl"/>
          <w:sz w:val="28"/>
          <w:sz w:val="28"/>
          <w:rtl w:val="true"/>
        </w:rPr>
        <w:t xml:space="preserve">וא </w:t>
      </w:r>
      <w:r>
        <w:rPr>
          <w:rFonts w:ascii="FrankRuehl" w:hAnsi="FrankRuehl"/>
          <w:sz w:val="28"/>
          <w:sz w:val="28"/>
          <w:rtl w:val="true"/>
        </w:rPr>
        <w:t>אס</w:t>
      </w:r>
      <w:r>
        <w:rPr>
          <w:rFonts w:ascii="FrankRuehl" w:hAnsi="FrankRuehl"/>
          <w:sz w:val="28"/>
          <w:sz w:val="28"/>
          <w:rtl w:val="true"/>
        </w:rPr>
        <w:t xml:space="preserve">ף </w:t>
      </w:r>
      <w:r>
        <w:rPr>
          <w:rFonts w:ascii="FrankRuehl" w:hAnsi="FrankRuehl"/>
          <w:sz w:val="28"/>
          <w:sz w:val="28"/>
          <w:rtl w:val="true"/>
        </w:rPr>
        <w:t>חלק מהתרמילים שנפלו על הקרקע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אשר למדיניות הענישה בעבירות בנשק אזכיר כי לנאשם מיוחסת עבירה של נשיאה והובלה של נשק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ביחד עם תחמושת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אקדח ורימון הלם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תחמושת מתאימה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ירי לעבר בית מגורים והשלכת הרימון </w:t>
      </w:r>
      <w:r>
        <w:rPr>
          <w:rFonts w:ascii="FrankRuehl" w:hAnsi="FrankRuehl"/>
          <w:sz w:val="28"/>
          <w:sz w:val="28"/>
          <w:rtl w:val="true"/>
        </w:rPr>
        <w:t>מעשים שמהווים ניסי</w:t>
      </w:r>
      <w:r>
        <w:rPr>
          <w:rFonts w:ascii="FrankRuehl" w:hAnsi="FrankRuehl"/>
          <w:sz w:val="28"/>
          <w:sz w:val="28"/>
          <w:rtl w:val="true"/>
        </w:rPr>
        <w:t>ון לחבלה חמורה בצוותא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מדובר במספר עבירות בנשק בגין החמורה מתוכן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עבירה לפי </w:t>
      </w:r>
      <w:hyperlink r:id="rId1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סיפה לחוק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קבע המחוקק עונש מקסימאלי של </w:t>
      </w:r>
      <w:r>
        <w:rPr>
          <w:rFonts w:cs="FrankRuehl" w:ascii="FrankRuehl" w:hAnsi="FrankRuehl"/>
          <w:sz w:val="28"/>
        </w:rPr>
        <w:t>10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שנות מאסר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בכל עבירה בנשק יש פוטנציאל פגיעה משמעותי בערך החברתי של שלום הציבור ביטחונו וסיכון ממשי לחיי אדם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על אחת כמה וכמה כאשר מדובר בעבירה של ירי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לתוך בית מגורים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 xml:space="preserve">אפנה בעניין זה לפסק דינה של השופטת חיות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כתוארה אז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>ב</w:t>
      </w:r>
      <w:hyperlink r:id="rId1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3877/16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ג</w:t>
      </w:r>
      <w:r>
        <w:rPr>
          <w:rFonts w:cs="Miriam" w:ascii="Miriam" w:hAnsi="Miriam"/>
          <w:szCs w:val="24"/>
          <w:rtl w:val="true"/>
        </w:rPr>
        <w:t>'</w:t>
      </w:r>
      <w:r>
        <w:rPr>
          <w:rFonts w:ascii="Miriam" w:hAnsi="Miriam" w:cs="Miriam"/>
          <w:szCs w:val="24"/>
          <w:rtl w:val="true"/>
        </w:rPr>
        <w:t xml:space="preserve">באלי נגד מדינת ישראל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17.11.2016</w:t>
      </w:r>
      <w:r>
        <w:rPr>
          <w:rFonts w:cs="FrankRuehl" w:ascii="FrankRuehl" w:hAnsi="FrankRuehl"/>
          <w:sz w:val="28"/>
          <w:rtl w:val="true"/>
        </w:rPr>
        <w:t xml:space="preserve">),  </w:t>
      </w:r>
      <w:r>
        <w:rPr>
          <w:rFonts w:ascii="FrankRuehl" w:hAnsi="FrankRuehl"/>
          <w:sz w:val="28"/>
          <w:sz w:val="28"/>
          <w:rtl w:val="true"/>
        </w:rPr>
        <w:t>באותו מקרה נשא והוביל הנאשם אקדח טעון ברכבו  בדרכו למפגש עם המתלונן עמו היה לו סכסוך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>הנאשם נדון 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34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 בפועל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ערעורו נדחה וכך נקבע באותו פסק דין</w:t>
      </w:r>
      <w:r>
        <w:rPr>
          <w:rFonts w:cs="FrankRuehl" w:ascii="FrankRuehl" w:hAnsi="FrankRuehl"/>
          <w:sz w:val="28"/>
          <w:rtl w:val="true"/>
        </w:rPr>
        <w:t>:</w:t>
      </w:r>
    </w:p>
    <w:p>
      <w:pPr>
        <w:pStyle w:val="ListParagraph"/>
        <w:ind w:start="368" w:end="567"/>
        <w:jc w:val="both"/>
        <w:rPr/>
      </w:pPr>
      <w:r>
        <w:rPr>
          <w:rFonts w:eastAsia="FrankRuehl" w:cs="FrankRuehl" w:ascii="FrankRuehl" w:hAnsi="FrankRuehl"/>
          <w:sz w:val="28"/>
          <w:rtl w:val="true"/>
        </w:rPr>
        <w:t xml:space="preserve">     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בית משפט זה עמד פעמים רבות על </w:t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החומרה היתרה הגלומה בביצוע </w:t>
      </w:r>
      <w:r>
        <w:rPr>
          <w:rFonts w:cs="FrankRuehl" w:ascii="FrankRuehl" w:hAnsi="FrankRuehl"/>
          <w:spacing w:val="10"/>
          <w:sz w:val="28"/>
          <w:rtl w:val="true"/>
        </w:rPr>
        <w:tab/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עבירות </w:t>
      </w:r>
      <w:r>
        <w:rPr>
          <w:rFonts w:cs="FrankRuehl" w:ascii="FrankRuehl" w:hAnsi="FrankRuehl"/>
          <w:spacing w:val="10"/>
          <w:sz w:val="28"/>
          <w:rtl w:val="true"/>
        </w:rPr>
        <w:tab/>
      </w:r>
      <w:r>
        <w:rPr>
          <w:rFonts w:ascii="FrankRuehl" w:hAnsi="FrankRuehl"/>
          <w:spacing w:val="10"/>
          <w:sz w:val="28"/>
          <w:sz w:val="28"/>
          <w:rtl w:val="true"/>
        </w:rPr>
        <w:t>בנשק ובכללן העבירה של החזקת נשק או נשיאתו שלא כדין</w:t>
      </w:r>
      <w:r>
        <w:rPr>
          <w:rFonts w:cs="FrankRuehl" w:ascii="FrankRuehl" w:hAnsi="FrankRuehl"/>
          <w:spacing w:val="10"/>
          <w:sz w:val="28"/>
          <w:rtl w:val="true"/>
        </w:rPr>
        <w:t xml:space="preserve">. </w:t>
      </w:r>
      <w:r>
        <w:rPr>
          <w:rFonts w:ascii="FrankRuehl" w:hAnsi="FrankRuehl"/>
          <w:spacing w:val="10"/>
          <w:sz w:val="28"/>
          <w:sz w:val="28"/>
          <w:rtl w:val="true"/>
        </w:rPr>
        <w:t>עב</w:t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ירות </w:t>
      </w:r>
      <w:r>
        <w:rPr>
          <w:rFonts w:cs="FrankRuehl" w:ascii="FrankRuehl" w:hAnsi="FrankRuehl"/>
          <w:spacing w:val="10"/>
          <w:sz w:val="28"/>
          <w:rtl w:val="true"/>
        </w:rPr>
        <w:tab/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אלה מקימות סיכון חמור לשלום הציבור וביטחונו ומחייבות </w:t>
      </w:r>
      <w:r>
        <w:rPr>
          <w:rFonts w:cs="FrankRuehl" w:ascii="FrankRuehl" w:hAnsi="FrankRuehl"/>
          <w:spacing w:val="10"/>
          <w:sz w:val="28"/>
          <w:rtl w:val="true"/>
        </w:rPr>
        <w:t>"</w:t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ליתן ביטוי </w:t>
      </w:r>
      <w:r>
        <w:rPr>
          <w:rFonts w:cs="FrankRuehl" w:ascii="FrankRuehl" w:hAnsi="FrankRuehl"/>
          <w:spacing w:val="10"/>
          <w:sz w:val="28"/>
          <w:rtl w:val="true"/>
        </w:rPr>
        <w:tab/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עונשי הולם ומרתיע באמצעות הרחקת מבצע העבירה מן החברה לתקופת </w:t>
      </w:r>
      <w:r>
        <w:rPr>
          <w:rFonts w:cs="FrankRuehl" w:ascii="FrankRuehl" w:hAnsi="FrankRuehl"/>
          <w:spacing w:val="10"/>
          <w:sz w:val="28"/>
          <w:rtl w:val="true"/>
        </w:rPr>
        <w:tab/>
      </w:r>
      <w:r>
        <w:rPr>
          <w:rFonts w:ascii="FrankRuehl" w:hAnsi="FrankRuehl"/>
          <w:spacing w:val="10"/>
          <w:sz w:val="28"/>
          <w:sz w:val="28"/>
          <w:rtl w:val="true"/>
        </w:rPr>
        <w:t>מאסר ממשית לריצוי בפועל</w:t>
      </w:r>
      <w:r>
        <w:rPr>
          <w:rFonts w:cs="FrankRuehl" w:ascii="FrankRuehl" w:hAnsi="FrankRuehl"/>
          <w:spacing w:val="10"/>
          <w:sz w:val="28"/>
          <w:rtl w:val="true"/>
        </w:rPr>
        <w:t>" (</w:t>
      </w:r>
      <w:hyperlink r:id="rId20">
        <w:r>
          <w:rPr>
            <w:rStyle w:val="Hyperlink"/>
            <w:rFonts w:ascii="FrankRuehl" w:hAnsi="FrankRuehl"/>
            <w:color w:val="0000FF"/>
            <w:spacing w:val="10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10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u w:val="single"/>
          </w:rPr>
          <w:t>5120/11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שתיווי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cs="FrankRuehl" w:ascii="FrankRuehl" w:hAnsi="FrankRuehl"/>
          <w:sz w:val="28"/>
        </w:rPr>
        <w:t>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rtl w:val="true"/>
        </w:rPr>
        <w:t>(</w:t>
      </w:r>
      <w:r>
        <w:rPr>
          <w:rFonts w:cs="FrankRuehl" w:ascii="FrankRuehl" w:hAnsi="FrankRuehl"/>
          <w:spacing w:val="10"/>
          <w:sz w:val="28"/>
        </w:rPr>
        <w:t>18.12.2011</w:t>
      </w:r>
      <w:r>
        <w:rPr>
          <w:rFonts w:cs="FrankRuehl" w:ascii="FrankRuehl" w:hAnsi="FrankRuehl"/>
          <w:spacing w:val="10"/>
          <w:sz w:val="28"/>
          <w:rtl w:val="true"/>
        </w:rPr>
        <w:t xml:space="preserve">); </w:t>
      </w:r>
      <w:r>
        <w:rPr>
          <w:rFonts w:cs="FrankRuehl" w:ascii="FrankRuehl" w:hAnsi="FrankRuehl"/>
          <w:spacing w:val="10"/>
          <w:sz w:val="28"/>
          <w:rtl w:val="true"/>
        </w:rPr>
        <w:t xml:space="preserve">[...] </w:t>
      </w:r>
      <w:r>
        <w:rPr>
          <w:rFonts w:ascii="FrankRuehl" w:hAnsi="FrankRuehl"/>
          <w:spacing w:val="10"/>
          <w:sz w:val="28"/>
          <w:sz w:val="28"/>
          <w:rtl w:val="true"/>
        </w:rPr>
        <w:t>עו</w:t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ד נפסק כי חומרתן של העבירות בנשק אינה </w:t>
      </w:r>
      <w:r>
        <w:rPr>
          <w:rFonts w:cs="FrankRuehl" w:ascii="FrankRuehl" w:hAnsi="FrankRuehl"/>
          <w:spacing w:val="10"/>
          <w:sz w:val="28"/>
          <w:rtl w:val="true"/>
        </w:rPr>
        <w:tab/>
      </w:r>
      <w:r>
        <w:rPr>
          <w:rFonts w:ascii="FrankRuehl" w:hAnsi="FrankRuehl"/>
          <w:spacing w:val="10"/>
          <w:sz w:val="28"/>
          <w:sz w:val="28"/>
          <w:rtl w:val="true"/>
        </w:rPr>
        <w:t>מסתכמת רק בנזק שאירע בפועל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>כי אם</w:t>
      </w:r>
      <w:r>
        <w:rPr>
          <w:rFonts w:ascii="FrankRuehl" w:hAnsi="FrankRuehl"/>
          <w:sz w:val="28"/>
          <w:sz w:val="28"/>
          <w:rtl w:val="true"/>
        </w:rPr>
        <w:t xml:space="preserve"> בפוטנציאל </w:t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הנזק הנובע מאותן </w:t>
      </w:r>
      <w:r>
        <w:rPr>
          <w:rFonts w:cs="FrankRuehl" w:ascii="FrankRuehl" w:hAnsi="FrankRuehl"/>
          <w:spacing w:val="10"/>
          <w:sz w:val="28"/>
          <w:rtl w:val="true"/>
        </w:rPr>
        <w:tab/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עבירות </w:t>
      </w:r>
      <w:r>
        <w:rPr>
          <w:rFonts w:cs="FrankRuehl" w:ascii="FrankRuehl" w:hAnsi="FrankRuehl"/>
          <w:spacing w:val="10"/>
          <w:sz w:val="28"/>
          <w:rtl w:val="true"/>
        </w:rPr>
        <w:t>(</w:t>
      </w:r>
      <w:hyperlink r:id="rId21">
        <w:r>
          <w:rPr>
            <w:rStyle w:val="Hyperlink"/>
            <w:rFonts w:ascii="FrankRuehl" w:hAnsi="FrankRuehl"/>
            <w:color w:val="0000FF"/>
            <w:spacing w:val="10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10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u w:val="single"/>
          </w:rPr>
          <w:t>116/13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וקנין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 ישראל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בפסקה </w:t>
      </w:r>
      <w:r>
        <w:rPr>
          <w:rFonts w:cs="FrankRuehl" w:ascii="FrankRuehl" w:hAnsi="FrankRuehl"/>
          <w:spacing w:val="10"/>
          <w:sz w:val="28"/>
        </w:rPr>
        <w:t>7</w:t>
      </w:r>
      <w:r>
        <w:rPr>
          <w:rFonts w:cs="FrankRuehl" w:ascii="FrankRuehl" w:hAnsi="FrankRuehl"/>
          <w:spacing w:val="10"/>
          <w:sz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</w:rPr>
        <w:t>31.7.2013</w:t>
      </w:r>
      <w:r>
        <w:rPr>
          <w:rFonts w:cs="FrankRuehl" w:ascii="FrankRuehl" w:hAnsi="FrankRuehl"/>
          <w:spacing w:val="10"/>
          <w:sz w:val="28"/>
          <w:rtl w:val="true"/>
        </w:rPr>
        <w:t>))</w:t>
      </w:r>
      <w:r>
        <w:rPr>
          <w:rFonts w:cs="FrankRuehl" w:ascii="FrankRuehl" w:hAnsi="FrankRuehl"/>
          <w:sz w:val="28"/>
          <w:rtl w:val="true"/>
        </w:rPr>
        <w:t>".</w:t>
      </w:r>
    </w:p>
    <w:p>
      <w:pPr>
        <w:pStyle w:val="ListParagraph"/>
        <w:ind w:start="368" w:end="567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>אזכיר  כי במקרה שלפניי הנאשם ביחד עם אחר עש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ascii="FrankRuehl" w:hAnsi="FrankRuehl"/>
          <w:sz w:val="28"/>
          <w:sz w:val="28"/>
          <w:rtl w:val="true"/>
        </w:rPr>
        <w:t xml:space="preserve"> שימוש בנשק בדרך של ירי לתוך בית המגורים ורק בנס לא נ</w:t>
      </w:r>
      <w:r>
        <w:rPr>
          <w:rFonts w:ascii="FrankRuehl" w:hAnsi="FrankRuehl"/>
          <w:sz w:val="28"/>
          <w:sz w:val="28"/>
          <w:rtl w:val="true"/>
        </w:rPr>
        <w:t>פ</w:t>
      </w:r>
      <w:r>
        <w:rPr>
          <w:rFonts w:ascii="FrankRuehl" w:hAnsi="FrankRuehl"/>
          <w:sz w:val="28"/>
          <w:sz w:val="28"/>
          <w:rtl w:val="true"/>
        </w:rPr>
        <w:t>געה אשת המתלונן שישנה בחדר השינה</w:t>
      </w:r>
      <w:r>
        <w:rPr>
          <w:rFonts w:ascii="FrankRuehl" w:hAnsi="FrankRuehl"/>
          <w:sz w:val="28"/>
          <w:sz w:val="28"/>
          <w:rtl w:val="true"/>
        </w:rPr>
        <w:t xml:space="preserve"> באותו עת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ירי סמוך לאחר חצות הלילה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>כש</w:t>
      </w:r>
      <w:r>
        <w:rPr>
          <w:rFonts w:ascii="FrankRuehl" w:hAnsi="FrankRuehl"/>
          <w:sz w:val="28"/>
          <w:sz w:val="28"/>
          <w:rtl w:val="true"/>
        </w:rPr>
        <w:t xml:space="preserve">קליעים </w:t>
      </w:r>
      <w:r>
        <w:rPr>
          <w:rFonts w:ascii="FrankRuehl" w:hAnsi="FrankRuehl"/>
          <w:sz w:val="28"/>
          <w:sz w:val="28"/>
          <w:rtl w:val="true"/>
        </w:rPr>
        <w:t>פגעו בחלון חדר השינה ובמשקוף דלת חדר השינה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ולעניין זה אפנה לפסק דינה של השופטת חיות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כתוארה אז</w:t>
      </w:r>
      <w:r>
        <w:rPr>
          <w:rFonts w:cs="FrankRuehl" w:ascii="FrankRuehl" w:hAnsi="FrankRuehl"/>
          <w:sz w:val="28"/>
          <w:rtl w:val="true"/>
        </w:rPr>
        <w:t xml:space="preserve">), </w:t>
      </w:r>
      <w:hyperlink r:id="rId2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1880/14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עמאש נגד מדינת ישראל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19.11.2014</w:t>
      </w:r>
      <w:r>
        <w:rPr>
          <w:rFonts w:cs="FrankRuehl" w:ascii="FrankRuehl" w:hAnsi="FrankRuehl"/>
          <w:sz w:val="28"/>
          <w:rtl w:val="true"/>
        </w:rPr>
        <w:t xml:space="preserve">),  </w:t>
      </w:r>
      <w:r>
        <w:rPr>
          <w:rFonts w:ascii="FrankRuehl" w:hAnsi="FrankRuehl"/>
          <w:sz w:val="28"/>
          <w:sz w:val="28"/>
          <w:rtl w:val="true"/>
        </w:rPr>
        <w:t xml:space="preserve">באותו מקרה הורשע הנאשם בעבירות של נשיאת נשק שלא כדין לפי סעיף </w:t>
      </w:r>
      <w:hyperlink r:id="rId23">
        <w:r>
          <w:rPr>
            <w:rStyle w:val="Hyperlink"/>
            <w:rFonts w:cs="FrankRuehl" w:ascii="FrankRuehl" w:hAnsi="FrankRuehl"/>
            <w:sz w:val="28"/>
          </w:rPr>
          <w:t>144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 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 וניסיון לחב</w:t>
      </w:r>
      <w:r>
        <w:rPr>
          <w:rFonts w:ascii="FrankRuehl" w:hAnsi="FrankRuehl"/>
          <w:sz w:val="28"/>
          <w:sz w:val="28"/>
          <w:rtl w:val="true"/>
        </w:rPr>
        <w:t>ל</w:t>
      </w:r>
      <w:r>
        <w:rPr>
          <w:rFonts w:ascii="FrankRuehl" w:hAnsi="FrankRuehl"/>
          <w:sz w:val="28"/>
          <w:sz w:val="28"/>
          <w:rtl w:val="true"/>
        </w:rPr>
        <w:t xml:space="preserve">ה חמורה בנסיבות מחמירות לפי סעיפים </w:t>
      </w:r>
      <w:hyperlink r:id="rId24"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333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בשילוב עם </w:t>
      </w:r>
      <w:hyperlink r:id="rId2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25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באותו מקרה </w:t>
      </w:r>
      <w:r>
        <w:rPr>
          <w:rFonts w:ascii="FrankRuehl" w:hAnsi="FrankRuehl"/>
          <w:sz w:val="28"/>
          <w:sz w:val="28"/>
          <w:rtl w:val="true"/>
        </w:rPr>
        <w:t>הנאשם הגיע לבית המתלונן וירה לעבר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יריות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בית המשפט המחוזי קבע מתחם עונש הולם שנע בין </w:t>
      </w: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שנים וגזר עליו עונש של </w:t>
      </w:r>
      <w:r>
        <w:rPr>
          <w:rFonts w:cs="FrankRuehl" w:ascii="FrankRuehl" w:hAnsi="FrankRuehl"/>
          <w:sz w:val="28"/>
        </w:rPr>
        <w:t>40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 בפועל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>בית המשפט העליון דחה את ערעורו וכך קבע</w:t>
      </w:r>
      <w:r>
        <w:rPr>
          <w:rFonts w:cs="FrankRuehl" w:ascii="FrankRuehl" w:hAnsi="FrankRuehl"/>
          <w:sz w:val="28"/>
          <w:rtl w:val="true"/>
        </w:rPr>
        <w:t>: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720"/>
        <w:jc w:val="both"/>
        <w:rPr/>
      </w:pPr>
      <w:r>
        <w:rPr>
          <w:rFonts w:cs="FrankRuehl" w:ascii="FrankRuehl" w:hAnsi="FrankRuehl"/>
          <w:sz w:val="28"/>
          <w:rtl w:val="true"/>
        </w:rPr>
        <w:tab/>
        <w:t>"</w:t>
      </w:r>
      <w:r>
        <w:rPr>
          <w:rFonts w:ascii="FrankRuehl" w:hAnsi="FrankRuehl" w:cs="FrankRuehl"/>
          <w:sz w:val="28"/>
          <w:sz w:val="28"/>
          <w:rtl w:val="true"/>
        </w:rPr>
        <w:t xml:space="preserve">מדובר במעשה אלימות מכוון תוך שימוש בנשק חם אשר רק באורח נס 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 w:cs="FrankRuehl"/>
          <w:sz w:val="28"/>
          <w:sz w:val="28"/>
          <w:rtl w:val="true"/>
        </w:rPr>
        <w:t>הסתיים ללא פגע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 xml:space="preserve">בית משפט זה הדגיש לא פעם את פוטנציאל הסיכון 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 w:cs="FrankRuehl"/>
          <w:sz w:val="28"/>
          <w:sz w:val="28"/>
          <w:rtl w:val="true"/>
        </w:rPr>
        <w:t xml:space="preserve">הרב שנושא עימו השימוש בנשק חם באזור מגורים וזאת לא רק כלפי 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 w:cs="FrankRuehl"/>
          <w:sz w:val="28"/>
          <w:sz w:val="28"/>
          <w:rtl w:val="true"/>
        </w:rPr>
        <w:t>המעורבים בסכסוך אלא גם כלפי עוברי אורח תמימים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 xml:space="preserve">התנהגות אלימה 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 w:cs="FrankRuehl"/>
          <w:sz w:val="28"/>
          <w:sz w:val="28"/>
          <w:rtl w:val="true"/>
        </w:rPr>
        <w:t xml:space="preserve">כזו מחייבת על כן ענישה ממשית ומרתיעה </w:t>
      </w:r>
      <w:r>
        <w:rPr>
          <w:rFonts w:cs="FrankRuehl" w:ascii="FrankRuehl" w:hAnsi="FrankRuehl"/>
          <w:sz w:val="28"/>
          <w:rtl w:val="true"/>
        </w:rPr>
        <w:t xml:space="preserve">[...] </w:t>
      </w:r>
      <w:r>
        <w:rPr>
          <w:rFonts w:ascii="FrankRuehl" w:hAnsi="FrankRuehl" w:cs="FrankRuehl"/>
          <w:sz w:val="28"/>
          <w:sz w:val="28"/>
          <w:rtl w:val="true"/>
        </w:rPr>
        <w:t xml:space="preserve">המערער הדגיש 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 w:cs="FrankRuehl"/>
          <w:sz w:val="28"/>
          <w:sz w:val="28"/>
          <w:rtl w:val="true"/>
        </w:rPr>
        <w:t>בטיעוניו כי האירוע הסתיים ללא נפגעים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אך בהקשר זה ראוי לזכור כי 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 w:cs="FrankRuehl"/>
          <w:sz w:val="28"/>
          <w:sz w:val="28"/>
          <w:rtl w:val="true"/>
        </w:rPr>
        <w:t xml:space="preserve">כך אירע לא מחמת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זהירותו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rtl w:val="true"/>
        </w:rPr>
        <w:t xml:space="preserve">של המערער </w:t>
      </w:r>
      <w:r>
        <w:rPr>
          <w:rFonts w:cs="FrankRuehl" w:ascii="FrankRuehl" w:hAnsi="FrankRuehl"/>
          <w:sz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rtl w:val="true"/>
        </w:rPr>
        <w:t xml:space="preserve">שלא היסס לירות ארבע 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 w:cs="FrankRuehl"/>
          <w:sz w:val="28"/>
          <w:sz w:val="28"/>
          <w:rtl w:val="true"/>
        </w:rPr>
        <w:t xml:space="preserve">יריות לעבר סדיקה </w:t>
      </w:r>
      <w:r>
        <w:rPr>
          <w:rFonts w:cs="FrankRuehl" w:ascii="FrankRuehl" w:hAnsi="FrankRuehl"/>
          <w:sz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rtl w:val="true"/>
        </w:rPr>
        <w:t xml:space="preserve">אלא מתוך מזל או שמא נס </w:t>
      </w:r>
      <w:r>
        <w:rPr>
          <w:rFonts w:cs="FrankRuehl" w:ascii="FrankRuehl" w:hAnsi="FrankRuehl"/>
          <w:sz w:val="28"/>
          <w:rtl w:val="true"/>
        </w:rPr>
        <w:t xml:space="preserve">[...] </w:t>
      </w:r>
      <w:r>
        <w:rPr>
          <w:rFonts w:cs="FrankRuehl" w:ascii="FrankRuehl" w:hAnsi="FrankRuehl"/>
          <w:sz w:val="28"/>
        </w:rPr>
        <w:t>0</w:t>
      </w:r>
      <w:r>
        <w:rPr>
          <w:rFonts w:ascii="FrankRuehl" w:hAnsi="FrankRuehl" w:cs="FrankRuehl"/>
          <w:sz w:val="28"/>
          <w:sz w:val="28"/>
          <w:rtl w:val="true"/>
        </w:rPr>
        <w:t xml:space="preserve">העובדה 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 w:cs="FrankRuehl"/>
          <w:sz w:val="28"/>
          <w:sz w:val="28"/>
          <w:rtl w:val="true"/>
        </w:rPr>
        <w:t>שהאירוע הסתיים ללא נפגעים נושאת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עם זאת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משקל מסוים בקביעת 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 w:cs="FrankRuehl"/>
          <w:sz w:val="28"/>
          <w:sz w:val="28"/>
          <w:rtl w:val="true"/>
        </w:rPr>
        <w:t xml:space="preserve">מתחם הענישה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 xml:space="preserve">ראו לעניין זה סעיפים </w:t>
      </w:r>
      <w:r>
        <w:rPr>
          <w:rFonts w:cs="FrankRuehl" w:ascii="FrankRuehl" w:hAnsi="FrankRuehl"/>
          <w:sz w:val="28"/>
        </w:rPr>
        <w:t>40</w:t>
      </w:r>
      <w:r>
        <w:rPr>
          <w:rFonts w:ascii="FrankRuehl" w:hAnsi="FrankRuehl" w:cs="FrankRuehl"/>
          <w:sz w:val="28"/>
          <w:sz w:val="28"/>
          <w:rtl w:val="true"/>
        </w:rPr>
        <w:t>ט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>א</w:t>
      </w:r>
      <w:r>
        <w:rPr>
          <w:rFonts w:cs="FrankRuehl" w:ascii="FrankRuehl" w:hAnsi="FrankRuehl"/>
          <w:sz w:val="28"/>
          <w:rtl w:val="true"/>
        </w:rPr>
        <w:t>)(</w:t>
      </w: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40</w:t>
      </w:r>
      <w:r>
        <w:rPr>
          <w:rFonts w:ascii="FrankRuehl" w:hAnsi="FrankRuehl" w:cs="FrankRuehl"/>
          <w:sz w:val="28"/>
          <w:sz w:val="28"/>
          <w:rtl w:val="true"/>
        </w:rPr>
        <w:t>ט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>א</w:t>
      </w:r>
      <w:r>
        <w:rPr>
          <w:rFonts w:cs="FrankRuehl" w:ascii="FrankRuehl" w:hAnsi="FrankRuehl"/>
          <w:sz w:val="28"/>
          <w:rtl w:val="true"/>
        </w:rPr>
        <w:t>)(</w:t>
      </w: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rtl w:val="true"/>
        </w:rPr>
        <w:t>ל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חוק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ab/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tabs>
          <w:tab w:val="left" w:pos="720" w:leader="none"/>
        </w:tabs>
        <w:ind w:start="368"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>אשר למדיניות הענישה בעבירות הצתה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אזכיר כי מדובר בשני מעשים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הצתת רכב וניסיון להצתת רכב נוסף אשר חנו בצמוד לגדר המקיפה את חצר ביתו של המתלונן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הצתה באמצעות חומר דליק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בנזין ויצירת שובל אש לכיוון הרכבים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העונש המקסימלי הקבוע בחוק בגין עבירת הצתה לפי סעיף </w:t>
      </w:r>
      <w:hyperlink r:id="rId27"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448</w:t>
        </w:r>
      </w:hyperlink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רישה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 xml:space="preserve">עומד על </w:t>
      </w:r>
      <w:r>
        <w:rPr>
          <w:rFonts w:cs="FrankRuehl" w:ascii="FrankRuehl" w:hAnsi="FrankRuehl"/>
          <w:sz w:val="28"/>
        </w:rPr>
        <w:t>15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שנות מאסר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2"/>
        <w:tabs>
          <w:tab w:val="left" w:pos="720" w:leader="none"/>
        </w:tabs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tabs>
          <w:tab w:val="left" w:pos="720" w:leader="none"/>
        </w:tabs>
        <w:ind w:start="368" w:end="0"/>
        <w:jc w:val="both"/>
        <w:rPr/>
      </w:pPr>
      <w:r>
        <w:rPr>
          <w:rFonts w:ascii="FrankRuehl" w:hAnsi="FrankRuehl"/>
          <w:color w:val="000000"/>
          <w:sz w:val="28"/>
          <w:sz w:val="28"/>
          <w:rtl w:val="true"/>
        </w:rPr>
        <w:t xml:space="preserve">חשוב  להדגיש לעניין זה את האמור בסעיף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לכתב האישום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המתוקן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לפיו הצתת הרכב וניסיון הצתת הרכב האחר הייתה בצמוד </w:t>
      </w:r>
      <w:r>
        <w:rPr>
          <w:rFonts w:ascii="FrankRuehl" w:hAnsi="FrankRuehl"/>
          <w:color w:val="000000"/>
          <w:sz w:val="28"/>
          <w:sz w:val="28"/>
          <w:rtl w:val="true"/>
        </w:rPr>
        <w:t>ל</w:t>
      </w:r>
      <w:r>
        <w:rPr>
          <w:rFonts w:ascii="FrankRuehl" w:hAnsi="FrankRuehl"/>
          <w:color w:val="000000"/>
          <w:sz w:val="28"/>
          <w:sz w:val="28"/>
          <w:rtl w:val="true"/>
        </w:rPr>
        <w:t>גדר ביתו של המתלונן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עובדה המצביעה על מדרג גבוה של חומרה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ראו לעניין זה את מדרגי הביניים של החומרה כפי שנקבעו ב</w:t>
      </w:r>
      <w:hyperlink r:id="rId2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607/16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פלונית נגד מדינת ישראל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12.4.2016</w:t>
      </w:r>
      <w:r>
        <w:rPr>
          <w:rFonts w:cs="FrankRuehl" w:ascii="FrankRuehl" w:hAnsi="FrankRuehl"/>
          <w:color w:val="000000"/>
          <w:sz w:val="28"/>
          <w:rtl w:val="true"/>
        </w:rPr>
        <w:t>) 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/>
          <w:color w:val="000000"/>
          <w:sz w:val="28"/>
          <w:sz w:val="28"/>
          <w:rtl w:val="true"/>
        </w:rPr>
        <w:t>עניין פלונית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2"/>
        <w:tabs>
          <w:tab w:val="left" w:pos="720" w:leader="none"/>
        </w:tabs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</w:p>
    <w:p>
      <w:pPr>
        <w:pStyle w:val="Normal"/>
        <w:spacing w:lineRule="auto" w:line="360" w:before="0" w:after="0"/>
        <w:ind w:start="368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בתי המשפט עמדו לא פעם על החומרה הרבה שגלומה בעבירת ההצתה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כאשר עבירת ההצתה מתייחסת לרכוש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בין היתר בשל הפוטנציאל לגרימת נזק חמור יותר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728/13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עווידה נ</w:t>
      </w:r>
      <w:r>
        <w:rPr>
          <w:rFonts w:cs="Miriam" w:ascii="Miriam" w:hAnsi="Miriam"/>
          <w:color w:val="000000"/>
          <w:rtl w:val="true"/>
        </w:rPr>
        <w:t xml:space="preserve">' </w:t>
      </w:r>
      <w:r>
        <w:rPr>
          <w:rFonts w:ascii="Miriam" w:hAnsi="Miriam" w:cs="Miriam"/>
          <w:color w:val="000000"/>
          <w:rtl w:val="true"/>
        </w:rPr>
        <w:t>מדינת ישרא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20.11.2013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וכך נפסק בעניין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זה ב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4311/12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סורי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8.11.12</w:t>
      </w:r>
      <w:r>
        <w:rPr>
          <w:rFonts w:cs="FrankRuehl" w:ascii="FrankRuehl" w:hAnsi="FrankRuehl"/>
          <w:sz w:val="28"/>
          <w:szCs w:val="28"/>
          <w:rtl w:val="true"/>
        </w:rPr>
        <w:t>):</w:t>
      </w:r>
    </w:p>
    <w:p>
      <w:pPr>
        <w:pStyle w:val="Normal"/>
        <w:ind w:start="708" w:end="851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רבות נכתב ונאמר אודות חומרתה היתרה של עבירת ההצתה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שתחילתה ידועה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ואחריתה מי ישורנה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שכן מנהגה של האש להתפשט מבלי יכולת שליטה תוך גרימת נזקים ואף סיכון חיי אדם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[...]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הצתה נתפסת כעבירה חמורה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 רק בשל הסכנה האינהרנטית הטבועה בה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אלא גם בשל המסר העברייני האלים העולה ממנה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מסר שיש בו כדי להטיל אימה ופחד ולפגוע בתחושת הביטחון האישי של הציבור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[...]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 בכדי קבע המחוקק את העונש המרבי על עבירה זו   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אף במקרים בהם לא הייתה כל כוונה לפגוע בנכס ציבורי או בבני אדם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."</w:t>
      </w:r>
    </w:p>
    <w:p>
      <w:pPr>
        <w:pStyle w:val="Ruller42"/>
        <w:tabs>
          <w:tab w:val="left" w:pos="720" w:leader="none"/>
        </w:tabs>
        <w:ind w:start="368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Ruller42"/>
        <w:tabs>
          <w:tab w:val="left" w:pos="720" w:leader="none"/>
        </w:tabs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בעניין פלונית הנ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ל כך נקבע</w:t>
      </w:r>
      <w:r>
        <w:rPr>
          <w:rFonts w:cs="FrankRuehl" w:ascii="FrankRuehl" w:hAnsi="FrankRuehl"/>
          <w:sz w:val="28"/>
          <w:rtl w:val="true"/>
        </w:rPr>
        <w:t xml:space="preserve">:  </w:t>
      </w:r>
    </w:p>
    <w:p>
      <w:pPr>
        <w:pStyle w:val="ListParagraph"/>
        <w:ind w:start="708" w:end="709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  <w:t>"</w:t>
      </w:r>
      <w:r>
        <w:rPr>
          <w:rFonts w:ascii="FrankRuehl" w:hAnsi="FrankRuehl"/>
          <w:sz w:val="28"/>
          <w:sz w:val="28"/>
          <w:rtl w:val="true"/>
        </w:rPr>
        <w:t>כידוע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עבירת ההצתה היא עבירה חמורה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גם כאשר היא מתייחסת לרכוש בלבד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וזאת בשל הפוטנציאל הרב לגרימת נזקי גוף חמורים</w:t>
      </w:r>
      <w:r>
        <w:rPr>
          <w:rFonts w:cs="FrankRuehl" w:ascii="FrankRuehl" w:hAnsi="FrankRuehl"/>
          <w:sz w:val="28"/>
          <w:rtl w:val="true"/>
        </w:rPr>
        <w:t>...</w:t>
      </w:r>
      <w:r>
        <w:rPr>
          <w:rFonts w:ascii="FrankRuehl" w:hAnsi="FrankRuehl"/>
          <w:sz w:val="28"/>
          <w:sz w:val="28"/>
          <w:rtl w:val="true"/>
        </w:rPr>
        <w:t xml:space="preserve">מטעם זה אף נפסק שככלל תגרור הרשעה בעבירת הצתה עונש מאסר בפועל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עניין סורי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 xml:space="preserve">הגם שחומרת העונש 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עשויה להשתנות  ממקרה למקרה על פי נסיבותיו</w:t>
      </w:r>
      <w:r>
        <w:rPr>
          <w:rFonts w:cs="FrankRuehl" w:ascii="FrankRuehl" w:hAnsi="FrankRuehl"/>
          <w:sz w:val="28"/>
          <w:rtl w:val="true"/>
        </w:rPr>
        <w:t>:</w:t>
      </w:r>
      <w:r>
        <w:rPr>
          <w:rFonts w:cs="FrankRuehl" w:ascii="FrankRuehl" w:hAnsi="FrankRuehl"/>
          <w:spacing w:val="10"/>
          <w:sz w:val="28"/>
          <w:rtl w:val="true"/>
        </w:rPr>
        <w:t xml:space="preserve"> "</w:t>
      </w:r>
      <w:r>
        <w:rPr>
          <w:rFonts w:ascii="FrankRuehl" w:hAnsi="FrankRuehl"/>
          <w:spacing w:val="10"/>
          <w:sz w:val="28"/>
          <w:sz w:val="28"/>
          <w:rtl w:val="true"/>
        </w:rPr>
        <w:t>ניתן להצביע על מדרגי ביניים של חומרה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מה שיכול להסביר את הסיבה לכך שהענישה הנלווית לעבירת ההצתה אינה אחידה ונעה על סקאלה רחבה </w:t>
      </w:r>
      <w:r>
        <w:rPr>
          <w:rFonts w:cs="FrankRuehl" w:ascii="FrankRuehl" w:hAnsi="FrankRuehl"/>
          <w:spacing w:val="10"/>
          <w:sz w:val="28"/>
          <w:rtl w:val="true"/>
        </w:rPr>
        <w:t xml:space="preserve">[...] </w:t>
      </w:r>
      <w:r>
        <w:rPr>
          <w:rFonts w:ascii="FrankRuehl" w:hAnsi="FrankRuehl"/>
          <w:spacing w:val="10"/>
          <w:sz w:val="28"/>
          <w:sz w:val="28"/>
          <w:rtl w:val="true"/>
        </w:rPr>
        <w:t>הצתה של נכס בנסיבות שאין לחשוש כי ההצתה תתפשט לרכוש אחר</w:t>
      </w:r>
      <w:r>
        <w:rPr>
          <w:rFonts w:cs="FrankRuehl" w:ascii="FrankRuehl" w:hAnsi="FrankRuehl"/>
          <w:spacing w:val="10"/>
          <w:sz w:val="28"/>
          <w:rtl w:val="true"/>
        </w:rPr>
        <w:t xml:space="preserve">; </w:t>
      </w:r>
      <w:r>
        <w:rPr>
          <w:rFonts w:ascii="FrankRuehl" w:hAnsi="FrankRuehl"/>
          <w:spacing w:val="10"/>
          <w:sz w:val="28"/>
          <w:sz w:val="28"/>
          <w:rtl w:val="true"/>
        </w:rPr>
        <w:t>הצתה של נכס שעלולה להתפשט ולפגוע ברכוש אחר</w:t>
      </w:r>
      <w:r>
        <w:rPr>
          <w:rFonts w:cs="FrankRuehl" w:ascii="FrankRuehl" w:hAnsi="FrankRuehl"/>
          <w:spacing w:val="10"/>
          <w:sz w:val="28"/>
          <w:rtl w:val="true"/>
        </w:rPr>
        <w:t xml:space="preserve">; </w:t>
      </w:r>
      <w:r>
        <w:rPr>
          <w:rFonts w:ascii="FrankRuehl" w:hAnsi="FrankRuehl"/>
          <w:spacing w:val="10"/>
          <w:sz w:val="28"/>
          <w:sz w:val="28"/>
          <w:rtl w:val="true"/>
        </w:rPr>
        <w:t>הצתה של נכס שיש בה פוטנציאל לפגיעה בגוף ובנפש</w:t>
      </w:r>
      <w:r>
        <w:rPr>
          <w:rFonts w:cs="FrankRuehl" w:ascii="FrankRuehl" w:hAnsi="FrankRuehl"/>
          <w:spacing w:val="10"/>
          <w:sz w:val="28"/>
          <w:rtl w:val="true"/>
        </w:rPr>
        <w:t xml:space="preserve">; </w:t>
      </w:r>
      <w:r>
        <w:rPr>
          <w:rFonts w:ascii="FrankRuehl" w:hAnsi="FrankRuehl"/>
          <w:spacing w:val="10"/>
          <w:sz w:val="28"/>
          <w:sz w:val="28"/>
          <w:rtl w:val="true"/>
        </w:rPr>
        <w:t>הצתה של נכס בנוכחותו הקרובה והמיידית של אדם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>מה שמגביר את פוטנציאל הפגיעה בגוף ובנפש</w:t>
      </w:r>
      <w:r>
        <w:rPr>
          <w:rFonts w:cs="FrankRuehl" w:ascii="FrankRuehl" w:hAnsi="FrankRuehl"/>
          <w:spacing w:val="10"/>
          <w:sz w:val="28"/>
          <w:rtl w:val="true"/>
        </w:rPr>
        <w:t xml:space="preserve">; </w:t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הצתה שגרמה בפועל לפגיעה בגוף ובנפש על אף שהמצית לא התכוון לכך </w:t>
      </w:r>
      <w:r>
        <w:rPr>
          <w:rFonts w:cs="FrankRuehl" w:ascii="FrankRuehl" w:hAnsi="FrankRuehl"/>
          <w:spacing w:val="10"/>
          <w:sz w:val="28"/>
          <w:rtl w:val="true"/>
        </w:rPr>
        <w:t>(</w:t>
      </w:r>
      <w:r>
        <w:rPr>
          <w:rFonts w:ascii="FrankRuehl" w:hAnsi="FrankRuehl"/>
          <w:spacing w:val="10"/>
          <w:sz w:val="28"/>
          <w:sz w:val="28"/>
          <w:rtl w:val="true"/>
        </w:rPr>
        <w:t>מחשבה פלילית של פזיזות</w:t>
      </w:r>
      <w:r>
        <w:rPr>
          <w:rFonts w:cs="FrankRuehl" w:ascii="FrankRuehl" w:hAnsi="FrankRuehl"/>
          <w:spacing w:val="10"/>
          <w:sz w:val="28"/>
          <w:rtl w:val="true"/>
        </w:rPr>
        <w:t xml:space="preserve">); </w:t>
      </w:r>
      <w:r>
        <w:rPr>
          <w:rFonts w:ascii="FrankRuehl" w:hAnsi="FrankRuehl"/>
          <w:spacing w:val="10"/>
          <w:sz w:val="28"/>
          <w:sz w:val="28"/>
          <w:rtl w:val="true"/>
        </w:rPr>
        <w:t>והצתה בכוונה לפגוע בגוף ובנפש</w:t>
      </w:r>
      <w:r>
        <w:rPr>
          <w:rFonts w:cs="FrankRuehl" w:ascii="FrankRuehl" w:hAnsi="FrankRuehl"/>
          <w:spacing w:val="10"/>
          <w:sz w:val="28"/>
          <w:rtl w:val="true"/>
        </w:rPr>
        <w:t>"</w:t>
      </w:r>
      <w:r>
        <w:rPr>
          <w:rFonts w:cs="FrankRuehl" w:ascii="FrankRuehl" w:hAnsi="FrankRuehl"/>
          <w:spacing w:val="10"/>
          <w:sz w:val="28"/>
          <w:rtl w:val="true"/>
        </w:rPr>
        <w:t>.</w:t>
      </w:r>
      <w:r>
        <w:rPr>
          <w:rFonts w:cs="FrankRuehl" w:ascii="FrankRuehl" w:hAnsi="FrankRuehl"/>
          <w:spacing w:val="10"/>
          <w:sz w:val="28"/>
          <w:rtl w:val="true"/>
        </w:rPr>
        <w:t xml:space="preserve"> </w:t>
      </w:r>
    </w:p>
    <w:p>
      <w:pPr>
        <w:pStyle w:val="Normal"/>
        <w:spacing w:lineRule="auto" w:line="360"/>
        <w:ind w:start="368" w:end="567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 xml:space="preserve">אשר לנסיבות הקשורות בביצוע העבירה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 xml:space="preserve">סעיף </w:t>
      </w:r>
      <w:hyperlink r:id="rId31"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 xml:space="preserve">כמתואר בסעיף </w:t>
      </w: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לעובדות כתב האישום המתוקן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הנאשם ביצע את העבירות בשל סכסוך עם בנו של המתלונן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מעשי הנאשם היו מתוכננים היטב 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ascii="FrankRuehl" w:hAnsi="FrankRuehl"/>
          <w:sz w:val="28"/>
          <w:sz w:val="28"/>
          <w:rtl w:val="true"/>
        </w:rPr>
        <w:t>הוא קשר קשר עם אחר כדי לנקום במשפחת המתלונן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Normal"/>
        <w:spacing w:lineRule="auto" w:line="360"/>
        <w:ind w:start="36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בעת קביעת גבולות המתחם אקח בחשבון כי העבירות בנשק בוצעו בפועל על ידי האחר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בעוד שהנאשם היה שותפו לעבירה כמבצע עיקרי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ראו לעניין זה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6053/13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פאיז נגד 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10.4.2014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368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8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הנזק שצפוי היה להיגרם מביצוע העבירות הוא נזק חמור ביותר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פגיעה בגוף ובנפש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בעת הירי לעבר הבית שהו בתוכו המתלונן ובני משפחתו ושני קליעים חדרו למטבח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חדר השינה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אקח בחשבון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בפועל נגרם נזק לרכוש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מעבר לפגיעת הקליעים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נפגע גם רכב המתלונן במספר מוקדים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433"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בהתחשב בערכים החברתיים שנפגעו מביצוע העבירות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במידת הפגיעה בהם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במדיניות הענישה הנהוגה ובנסיבות הקשורות בביצוע העבירות ובהתחשב בעובדה כי מדובר במספר  עבירות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הצתת רכב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ניסיון להצתת רכב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נשיאה והובלה של אקדח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רימון הלם ותחמושת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ירי לתוך בית באופן שיש בו כדי לסכן את חיי אדם כניסיון לגרום למתלונן 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ascii="FrankRuehl" w:hAnsi="FrankRuehl"/>
          <w:sz w:val="28"/>
          <w:sz w:val="28"/>
          <w:rtl w:val="true"/>
        </w:rPr>
        <w:t>בני משפ</w:t>
      </w:r>
      <w:r>
        <w:rPr>
          <w:rFonts w:ascii="FrankRuehl" w:hAnsi="FrankRuehl"/>
          <w:sz w:val="28"/>
          <w:sz w:val="28"/>
          <w:rtl w:val="true"/>
        </w:rPr>
        <w:t>ח</w:t>
      </w:r>
      <w:r>
        <w:rPr>
          <w:rFonts w:ascii="FrankRuehl" w:hAnsi="FrankRuehl"/>
          <w:sz w:val="28"/>
          <w:sz w:val="28"/>
          <w:rtl w:val="true"/>
        </w:rPr>
        <w:t>תו לחבלה חמורה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אני קובע כי </w:t>
      </w:r>
      <w:r>
        <w:rPr>
          <w:rFonts w:ascii="FrankRuehl" w:hAnsi="FrankRuehl"/>
          <w:sz w:val="28"/>
          <w:sz w:val="28"/>
          <w:rtl w:val="true"/>
        </w:rPr>
        <w:t xml:space="preserve">מתחם </w:t>
      </w:r>
      <w:r>
        <w:rPr>
          <w:rFonts w:ascii="FrankRuehl" w:hAnsi="FrankRuehl"/>
          <w:sz w:val="28"/>
          <w:sz w:val="28"/>
          <w:rtl w:val="true"/>
        </w:rPr>
        <w:t xml:space="preserve">העונש ההולם במקרה זה הוא מאסר בפועל בין </w:t>
      </w:r>
      <w:r>
        <w:rPr>
          <w:rFonts w:cs="FrankRuehl" w:ascii="FrankRuehl" w:hAnsi="FrankRuehl"/>
          <w:sz w:val="28"/>
          <w:u w:val="single"/>
        </w:rPr>
        <w:t>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לבין </w:t>
      </w:r>
      <w:r>
        <w:rPr>
          <w:rFonts w:cs="FrankRuehl" w:ascii="FrankRuehl" w:hAnsi="FrankRuehl"/>
          <w:sz w:val="28"/>
          <w:u w:val="single"/>
        </w:rPr>
        <w:t>7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שנות מאסר בפועל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העונש המתאים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בהתאם לתסקיר שירות המבחן מיום </w:t>
      </w:r>
      <w:r>
        <w:rPr>
          <w:rFonts w:cs="FrankRuehl" w:ascii="FrankRuehl" w:hAnsi="FrankRuehl"/>
          <w:sz w:val="28"/>
        </w:rPr>
        <w:t>26.12.2019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שאלת שיקום </w:t>
      </w:r>
      <w:r>
        <w:rPr>
          <w:rFonts w:ascii="FrankRuehl" w:hAnsi="FrankRuehl"/>
          <w:sz w:val="28"/>
          <w:sz w:val="28"/>
          <w:rtl w:val="true"/>
        </w:rPr>
        <w:t xml:space="preserve">אינה עומדת </w:t>
      </w:r>
      <w:r>
        <w:rPr>
          <w:rFonts w:ascii="FrankRuehl" w:hAnsi="FrankRuehl"/>
          <w:sz w:val="28"/>
          <w:sz w:val="28"/>
          <w:rtl w:val="true"/>
        </w:rPr>
        <w:t>על הפרק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שירות המבחן לא המליץ על הליך טיפולי ולא המליץ בנסיבותיו של תיק זה על  מסגרת שיקומית ש</w:t>
      </w:r>
      <w:r>
        <w:rPr>
          <w:rFonts w:ascii="FrankRuehl" w:hAnsi="FrankRuehl"/>
          <w:sz w:val="28"/>
          <w:sz w:val="28"/>
          <w:rtl w:val="true"/>
        </w:rPr>
        <w:t xml:space="preserve">עשויה </w:t>
      </w:r>
      <w:r>
        <w:rPr>
          <w:rFonts w:ascii="FrankRuehl" w:hAnsi="FrankRuehl"/>
          <w:sz w:val="28"/>
          <w:sz w:val="28"/>
          <w:rtl w:val="true"/>
        </w:rPr>
        <w:t>להביא להפחתת הסיכון המשמעותי להישנות התנהגות פורצת חוק מצדו של הנאשם ולכן העונש המתאים יהיה בתוך מתחם העונש ההולם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 xml:space="preserve">אשר לנסיבות שאינן קשורות בביצוע העבירה </w:t>
      </w:r>
      <w:r>
        <w:rPr>
          <w:rFonts w:cs="FrankRuehl" w:ascii="FrankRuehl" w:hAnsi="FrankRuehl"/>
          <w:sz w:val="28"/>
          <w:rtl w:val="true"/>
        </w:rPr>
        <w:t>(</w:t>
      </w:r>
      <w:hyperlink r:id="rId33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סעיף 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>מכלול הנסיבות כולן מצדיק פסיקת עונש מתאים בקצה התחתון של המתחם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הנאשם בחור צעיר יליד </w:t>
      </w:r>
      <w:r>
        <w:rPr>
          <w:rFonts w:cs="FrankRuehl" w:ascii="FrankRuehl" w:hAnsi="FrankRuehl"/>
          <w:sz w:val="28"/>
        </w:rPr>
        <w:t>9.1.1998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ביצע את העבירות</w:t>
      </w:r>
      <w:r>
        <w:rPr>
          <w:rFonts w:ascii="FrankRuehl" w:hAnsi="FrankRuehl"/>
          <w:sz w:val="28"/>
          <w:sz w:val="28"/>
          <w:rtl w:val="true"/>
        </w:rPr>
        <w:t xml:space="preserve"> בהיותו </w:t>
      </w:r>
      <w:r>
        <w:rPr>
          <w:rFonts w:ascii="FrankRuehl" w:hAnsi="FrankRuehl"/>
          <w:sz w:val="28"/>
          <w:sz w:val="28"/>
          <w:rtl w:val="true"/>
        </w:rPr>
        <w:t xml:space="preserve">בן </w:t>
      </w:r>
      <w:r>
        <w:rPr>
          <w:rFonts w:cs="FrankRuehl" w:ascii="FrankRuehl" w:hAnsi="FrankRuehl"/>
          <w:sz w:val="28"/>
        </w:rPr>
        <w:t>20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שנה 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11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חודשים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>עד לאותו מועד ולאחריו שמר על אורח חיים נורמטיבי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ייתכן וניתן לכנות הנאשם כ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בגיר צעיר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כפי שטען הסנגור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אך אזכיר כי יש דעות שונות בנושא בפסיקה  ראו למשל </w:t>
      </w:r>
      <w:hyperlink r:id="rId3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6961/17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אלקיעאן נגד מדינת ישראל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7.3.2018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>ואפנה ל</w:t>
      </w:r>
      <w:hyperlink r:id="rId3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308/16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נאטור נגד מדינת ישראל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7.11.2016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>בו נקבע כ</w:t>
      </w:r>
      <w:r>
        <w:rPr>
          <w:rFonts w:ascii="FrankRuehl" w:hAnsi="FrankRuehl"/>
          <w:sz w:val="28"/>
          <w:sz w:val="28"/>
          <w:rtl w:val="true"/>
        </w:rPr>
        <w:t>ך</w:t>
      </w:r>
      <w:r>
        <w:rPr>
          <w:rFonts w:cs="FrankRuehl" w:ascii="FrankRuehl" w:hAnsi="FrankRuehl"/>
          <w:sz w:val="28"/>
          <w:rtl w:val="true"/>
        </w:rPr>
        <w:t>:</w:t>
      </w:r>
      <w:r>
        <w:rPr>
          <w:rFonts w:cs="FrankRuehl" w:ascii="FrankRuehl" w:hAnsi="FrankRuehl"/>
          <w:sz w:val="28"/>
          <w:rtl w:val="true"/>
        </w:rPr>
        <w:t xml:space="preserve"> </w:t>
      </w:r>
    </w:p>
    <w:p>
      <w:pPr>
        <w:pStyle w:val="Normal"/>
        <w:ind w:hanging="77" w:start="360" w:end="709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  <w:tab/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אין משמעות ההכרה בקטיגורית הבגירים הצעירים כי בכל מקרה תהיה הקלה </w:t>
      </w: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בעונש </w:t>
      </w: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בית המשפט לבחון בכל מקרה לגופו האם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ובאיזו מידה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מתקיימים </w:t>
      </w: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המשתנים השונים המצדיקים הקלה כזאת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ind w:hanging="77" w:start="360" w:end="709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אני משוכנע כי עונש של מאסר בפועל לתקופה ארוכה יפגע בנאשם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בארוסתו ובבני משפחתו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גם בשל גילו הצעיר ולכן העונש המתאים יהיה סמוך לקצה התחתון של המתחם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עוד אזקוף לזכות הנאשם את נטילת האחריות על מעשיו בהזדמנות הראשונה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רצונו להביא את הסכסוך בין המשפחות לידי סיום חיובי והחיסכון בזמן שיפוטי יקר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cs="FrankRuehl" w:ascii="FrankRuehl" w:hAnsi="FrankRuehl"/>
          <w:sz w:val="28"/>
          <w:rtl w:val="true"/>
        </w:rPr>
        <w:t xml:space="preserve"> </w:t>
      </w:r>
    </w:p>
    <w:p>
      <w:pPr>
        <w:pStyle w:val="ListParagraph"/>
        <w:spacing w:lineRule="auto" w:line="360"/>
        <w:ind w:start="368" w:end="0"/>
        <w:jc w:val="both"/>
        <w:rPr>
          <w:rFonts w:cs="David"/>
          <w:sz w:val="28"/>
        </w:rPr>
      </w:pPr>
      <w:r>
        <w:rPr>
          <w:rFonts w:ascii="FrankRuehl" w:hAnsi="FrankRuehl"/>
          <w:sz w:val="28"/>
          <w:sz w:val="28"/>
          <w:rtl w:val="true"/>
        </w:rPr>
        <w:t>די בעיון בדברי המתלונן כמתואר בתסקיר נפגע העבירה כדי לראות עד כמה הייתה במקרה זה חשיבות רבה להסכם הסולחה שהביא להכרה בפגיעה במתלונן ובבני משפחתו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ראו לעניין זה </w:t>
      </w:r>
      <w:hyperlink r:id="rId3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" w:cs="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2847/16</w:t>
        </w:r>
      </w:hyperlink>
      <w:r>
        <w:rPr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רשיד נגד מדינת ישראל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9.3.2017</w:t>
      </w:r>
      <w:r>
        <w:rPr>
          <w:sz w:val="28"/>
          <w:rtl w:val="true"/>
        </w:rPr>
        <w:t>)</w:t>
      </w:r>
      <w:r>
        <w:rPr>
          <w:rFonts w:cs="David"/>
          <w:sz w:val="28"/>
          <w:rtl w:val="true"/>
        </w:rPr>
        <w:t xml:space="preserve"> </w:t>
      </w:r>
      <w:r>
        <w:rPr>
          <w:rFonts w:cs="David"/>
          <w:sz w:val="28"/>
          <w:sz w:val="28"/>
          <w:rtl w:val="true"/>
        </w:rPr>
        <w:t>בו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rFonts w:cs="David"/>
          <w:sz w:val="28"/>
          <w:sz w:val="28"/>
          <w:rtl w:val="true"/>
        </w:rPr>
        <w:t>נקבע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rFonts w:cs="David"/>
          <w:sz w:val="28"/>
          <w:sz w:val="28"/>
          <w:rtl w:val="true"/>
        </w:rPr>
        <w:t>כך</w:t>
      </w:r>
      <w:r>
        <w:rPr>
          <w:rFonts w:cs="David"/>
          <w:sz w:val="28"/>
          <w:rtl w:val="true"/>
        </w:rPr>
        <w:t>:</w:t>
      </w:r>
    </w:p>
    <w:p>
      <w:pPr>
        <w:pStyle w:val="ListParagraph"/>
        <w:ind w:start="368" w:end="851"/>
        <w:jc w:val="both"/>
        <w:rPr>
          <w:rFonts w:cs="David"/>
          <w:sz w:val="28"/>
        </w:rPr>
      </w:pPr>
      <w:r>
        <w:rPr>
          <w:sz w:val="28"/>
          <w:rtl w:val="true"/>
        </w:rPr>
        <w:tab/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אנו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מברכים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הסכם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הסולחה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שנערך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על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חשיבותו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הסכם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הסולחה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בהשכנת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שלום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צדדים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ניציים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בכוחו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למנוע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" w:cs="Arial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המשך</w:t>
      </w:r>
      <w:r>
        <w:rPr>
          <w:rFonts w:eastAsia="Arial" w:cs="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האלימות</w:t>
      </w:r>
      <w:r>
        <w:rPr>
          <w:sz w:val="28"/>
          <w:rtl w:val="true"/>
        </w:rPr>
        <w:t>".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 xml:space="preserve">בעת קביעת משך המאסר לקחתי בחשבון את התקופה בה שהה הנאשם במעצר בפיקוח אלקטרוני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 xml:space="preserve">מיום </w:t>
      </w:r>
      <w:r>
        <w:rPr>
          <w:rFonts w:cs="FrankRuehl" w:ascii="FrankRuehl" w:hAnsi="FrankRuehl"/>
          <w:sz w:val="28"/>
        </w:rPr>
        <w:t>30.1.2019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ועד ליום </w:t>
      </w:r>
      <w:r>
        <w:rPr>
          <w:rFonts w:cs="FrankRuehl" w:ascii="FrankRuehl" w:hAnsi="FrankRuehl"/>
          <w:sz w:val="28"/>
        </w:rPr>
        <w:t>28.4.2019</w:t>
      </w:r>
      <w:r>
        <w:rPr>
          <w:rFonts w:cs="FrankRuehl" w:ascii="FrankRuehl" w:hAnsi="FrankRuehl"/>
          <w:sz w:val="28"/>
          <w:rtl w:val="true"/>
        </w:rPr>
        <w:t>).</w:t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בטרם סיום אפנה לפסק דינו של השופט יוסף אלרון ב</w:t>
      </w:r>
      <w:hyperlink r:id="rId3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4406/19</w:t>
        </w:r>
      </w:hyperlink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4411/19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4418/19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4439/19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מדינת ישראל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סובח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5.11.2019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 xml:space="preserve">לפיו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על רקע המציאות אותה אנו חווים למרבה הצער מדי יום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ובהמשך קובע כי יש לנקוט במדיניות ענישה מחמירה גם כלפי ביצוע עבירות החזקת נשק שלא כדין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>כב</w:t>
      </w:r>
      <w:r>
        <w:rPr>
          <w:rFonts w:cs="FrankRuehl" w:ascii="FrankRuehl" w:hAnsi="FrankRuehl"/>
          <w:sz w:val="28"/>
          <w:rtl w:val="true"/>
        </w:rPr>
        <w:t xml:space="preserve">'  </w:t>
      </w:r>
      <w:r>
        <w:rPr>
          <w:rFonts w:ascii="FrankRuehl" w:hAnsi="FrankRuehl"/>
          <w:sz w:val="28"/>
          <w:sz w:val="28"/>
          <w:rtl w:val="true"/>
        </w:rPr>
        <w:t>השופט  מזוז הצטרף והוסיף כך</w:t>
      </w:r>
      <w:r>
        <w:rPr>
          <w:rFonts w:cs="FrankRuehl" w:ascii="FrankRuehl" w:hAnsi="FrankRuehl"/>
          <w:sz w:val="28"/>
          <w:rtl w:val="true"/>
        </w:rPr>
        <w:t>:</w:t>
      </w:r>
    </w:p>
    <w:p>
      <w:pPr>
        <w:pStyle w:val="ListParagraph"/>
        <w:ind w:end="567"/>
        <w:jc w:val="both"/>
        <w:rPr>
          <w:rFonts w:ascii="FrankRuehl" w:hAnsi="FrankRuehl" w:cs="FrankRuehl"/>
          <w:spacing w:val="10"/>
          <w:sz w:val="28"/>
        </w:rPr>
      </w:pPr>
      <w:r>
        <w:rPr>
          <w:rFonts w:cs="FrankRuehl" w:ascii="FrankRuehl" w:hAnsi="FrankRuehl"/>
          <w:spacing w:val="10"/>
          <w:sz w:val="28"/>
          <w:rtl w:val="true"/>
        </w:rPr>
        <w:t>"</w:t>
      </w:r>
      <w:r>
        <w:rPr>
          <w:rFonts w:ascii="FrankRuehl" w:hAnsi="FrankRuehl"/>
          <w:spacing w:val="10"/>
          <w:sz w:val="28"/>
          <w:sz w:val="28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FrankRuehl" w:ascii="FrankRuehl" w:hAnsi="FrankRuehl"/>
          <w:spacing w:val="10"/>
          <w:sz w:val="28"/>
          <w:rtl w:val="true"/>
        </w:rPr>
        <w:t xml:space="preserve">. </w:t>
      </w:r>
      <w:r>
        <w:rPr>
          <w:rFonts w:ascii="FrankRuehl" w:hAnsi="FrankRuehl"/>
          <w:spacing w:val="10"/>
          <w:sz w:val="28"/>
          <w:sz w:val="28"/>
          <w:rtl w:val="true"/>
        </w:rPr>
        <w:t>היא התשתית ו</w:t>
      </w:r>
      <w:r>
        <w:rPr>
          <w:rFonts w:cs="FrankRuehl" w:ascii="FrankRuehl" w:hAnsi="FrankRuehl"/>
          <w:spacing w:val="10"/>
          <w:sz w:val="28"/>
          <w:rtl w:val="true"/>
        </w:rPr>
        <w:t>"</w:t>
      </w:r>
      <w:r>
        <w:rPr>
          <w:rFonts w:ascii="FrankRuehl" w:hAnsi="FrankRuehl"/>
          <w:spacing w:val="10"/>
          <w:sz w:val="28"/>
          <w:sz w:val="28"/>
          <w:rtl w:val="true"/>
        </w:rPr>
        <w:t>הגורם בלעדו איין</w:t>
      </w:r>
      <w:r>
        <w:rPr>
          <w:rFonts w:cs="FrankRuehl" w:ascii="FrankRuehl" w:hAnsi="FrankRuehl"/>
          <w:spacing w:val="10"/>
          <w:sz w:val="28"/>
          <w:rtl w:val="true"/>
        </w:rPr>
        <w:t>" (</w:t>
      </w:r>
      <w:r>
        <w:rPr>
          <w:rFonts w:cs="FrankRuehl" w:ascii="FrankRuehl" w:hAnsi="FrankRuehl"/>
          <w:spacing w:val="10"/>
          <w:sz w:val="28"/>
        </w:rPr>
        <w:t>causa sine qua non</w:t>
      </w:r>
      <w:r>
        <w:rPr>
          <w:rFonts w:cs="FrankRuehl" w:ascii="FrankRuehl" w:hAnsi="FrankRuehl"/>
          <w:spacing w:val="10"/>
          <w:sz w:val="28"/>
          <w:rtl w:val="true"/>
        </w:rPr>
        <w:t xml:space="preserve">) </w:t>
      </w:r>
      <w:r>
        <w:rPr>
          <w:rFonts w:ascii="FrankRuehl" w:hAnsi="FrankRuehl"/>
          <w:spacing w:val="10"/>
          <w:sz w:val="28"/>
          <w:sz w:val="28"/>
          <w:rtl w:val="true"/>
        </w:rPr>
        <w:t>למגוון רחב של עבירות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>החל בעבירות איומים ושוד מזוין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>המשך בעבירות גרימת חבלה חמורה וכלה בעבירות המתה</w:t>
      </w:r>
      <w:r>
        <w:rPr>
          <w:rFonts w:cs="FrankRuehl" w:ascii="FrankRuehl" w:hAnsi="FrankRuehl"/>
          <w:spacing w:val="10"/>
          <w:sz w:val="28"/>
          <w:rtl w:val="true"/>
        </w:rPr>
        <w:t xml:space="preserve">. </w:t>
      </w:r>
      <w:r>
        <w:rPr>
          <w:rFonts w:ascii="FrankRuehl" w:hAnsi="FrankRuehl"/>
          <w:spacing w:val="10"/>
          <w:sz w:val="28"/>
          <w:sz w:val="28"/>
          <w:rtl w:val="true"/>
        </w:rPr>
        <w:t>לעתים קרובות הנשק הבלתי חוקי נרכש מלכתחילה למטרות עבירה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ואף אם הנשק נרכש למטרות </w:t>
      </w:r>
      <w:r>
        <w:rPr>
          <w:rFonts w:cs="FrankRuehl" w:ascii="FrankRuehl" w:hAnsi="FrankRuehl"/>
          <w:spacing w:val="10"/>
          <w:sz w:val="28"/>
          <w:rtl w:val="true"/>
        </w:rPr>
        <w:t>"</w:t>
      </w:r>
      <w:r>
        <w:rPr>
          <w:rFonts w:ascii="FrankRuehl" w:hAnsi="FrankRuehl"/>
          <w:spacing w:val="10"/>
          <w:sz w:val="28"/>
          <w:sz w:val="28"/>
          <w:rtl w:val="true"/>
        </w:rPr>
        <w:t>הגנה עצמית</w:t>
      </w:r>
      <w:r>
        <w:rPr>
          <w:rFonts w:cs="FrankRuehl" w:ascii="FrankRuehl" w:hAnsi="FrankRuehl"/>
          <w:spacing w:val="10"/>
          <w:sz w:val="28"/>
          <w:rtl w:val="true"/>
        </w:rPr>
        <w:t xml:space="preserve">", </w:t>
      </w:r>
      <w:r>
        <w:rPr>
          <w:rFonts w:ascii="FrankRuehl" w:hAnsi="FrankRuehl"/>
          <w:spacing w:val="10"/>
          <w:sz w:val="28"/>
          <w:sz w:val="28"/>
          <w:rtl w:val="true"/>
        </w:rPr>
        <w:t>הזמינות של הנשק מעודדת את השימוש בו לביצוע עבירות שונות ולחרפת תוצאותיהן</w:t>
      </w:r>
      <w:r>
        <w:rPr>
          <w:rFonts w:cs="FrankRuehl" w:ascii="FrankRuehl" w:hAnsi="FrankRuehl"/>
          <w:spacing w:val="10"/>
          <w:sz w:val="28"/>
          <w:rtl w:val="true"/>
        </w:rPr>
        <w:t xml:space="preserve">. </w:t>
      </w:r>
    </w:p>
    <w:p>
      <w:pPr>
        <w:pStyle w:val="ListParagraph"/>
        <w:ind w:end="567"/>
        <w:jc w:val="both"/>
        <w:rPr>
          <w:rFonts w:ascii="FrankRuehl" w:hAnsi="FrankRuehl" w:cs="FrankRuehl"/>
          <w:spacing w:val="10"/>
          <w:sz w:val="28"/>
        </w:rPr>
      </w:pPr>
      <w:r>
        <w:rPr>
          <w:rFonts w:ascii="FrankRuehl" w:hAnsi="FrankRuehl"/>
          <w:spacing w:val="10"/>
          <w:sz w:val="28"/>
          <w:sz w:val="28"/>
          <w:rtl w:val="true"/>
        </w:rPr>
        <w:t>על כן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>המאבק בתופעות האלימות החמורות בחברה הישראלית בהן נעשה שימוש בנשק מחייב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מעבר למאמץ </w:t>
      </w:r>
      <w:r>
        <w:rPr>
          <w:rFonts w:cs="FrankRuehl" w:ascii="FrankRuehl" w:hAnsi="FrankRuehl"/>
          <w:spacing w:val="10"/>
          <w:sz w:val="28"/>
          <w:rtl w:val="true"/>
        </w:rPr>
        <w:t>"</w:t>
      </w:r>
      <w:r>
        <w:rPr>
          <w:rFonts w:ascii="FrankRuehl" w:hAnsi="FrankRuehl"/>
          <w:spacing w:val="10"/>
          <w:sz w:val="28"/>
          <w:sz w:val="28"/>
          <w:rtl w:val="true"/>
        </w:rPr>
        <w:t>לשים יד</w:t>
      </w:r>
      <w:r>
        <w:rPr>
          <w:rFonts w:cs="FrankRuehl" w:ascii="FrankRuehl" w:hAnsi="FrankRuehl"/>
          <w:spacing w:val="10"/>
          <w:sz w:val="28"/>
          <w:rtl w:val="true"/>
        </w:rPr>
        <w:t xml:space="preserve">" </w:t>
      </w:r>
      <w:r>
        <w:rPr>
          <w:rFonts w:ascii="FrankRuehl" w:hAnsi="FrankRuehl"/>
          <w:spacing w:val="10"/>
          <w:sz w:val="28"/>
          <w:sz w:val="28"/>
          <w:rtl w:val="true"/>
        </w:rPr>
        <w:t>על כלי הנשק הבלתי חוקיים הרבים שבידי הציבור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>גם ענישה מחמירה ומרתיעה בעבירות נשק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>לרבות על עצם החזקה או רכישה שלא כדין של נשק</w:t>
      </w:r>
      <w:r>
        <w:rPr>
          <w:rFonts w:cs="FrankRuehl" w:ascii="FrankRuehl" w:hAnsi="FrankRuehl"/>
          <w:spacing w:val="10"/>
          <w:sz w:val="28"/>
          <w:rtl w:val="true"/>
        </w:rPr>
        <w:t xml:space="preserve">. </w:t>
      </w:r>
    </w:p>
    <w:p>
      <w:pPr>
        <w:pStyle w:val="ListParagraph"/>
        <w:ind w:end="567"/>
        <w:jc w:val="both"/>
        <w:rPr>
          <w:rFonts w:ascii="FrankRuehl" w:hAnsi="FrankRuehl" w:cs="FrankRuehl"/>
          <w:spacing w:val="10"/>
          <w:sz w:val="28"/>
        </w:rPr>
      </w:pPr>
      <w:r>
        <w:rPr>
          <w:rFonts w:ascii="FrankRuehl" w:hAnsi="FrankRuehl"/>
          <w:spacing w:val="10"/>
          <w:sz w:val="28"/>
          <w:sz w:val="28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 xml:space="preserve">בבחינת </w:t>
      </w:r>
      <w:r>
        <w:rPr>
          <w:rFonts w:cs="FrankRuehl" w:ascii="FrankRuehl" w:hAnsi="FrankRuehl"/>
          <w:spacing w:val="10"/>
          <w:sz w:val="28"/>
          <w:rtl w:val="true"/>
        </w:rPr>
        <w:t>"</w:t>
      </w:r>
      <w:r>
        <w:rPr>
          <w:rFonts w:ascii="FrankRuehl" w:hAnsi="FrankRuehl"/>
          <w:spacing w:val="10"/>
          <w:sz w:val="28"/>
          <w:sz w:val="28"/>
          <w:rtl w:val="true"/>
        </w:rPr>
        <w:t>ייבוש הביצה</w:t>
      </w:r>
      <w:r>
        <w:rPr>
          <w:rFonts w:cs="FrankRuehl" w:ascii="FrankRuehl" w:hAnsi="FrankRuehl"/>
          <w:spacing w:val="10"/>
          <w:sz w:val="28"/>
          <w:rtl w:val="true"/>
        </w:rPr>
        <w:t xml:space="preserve">" </w:t>
      </w:r>
      <w:r>
        <w:rPr>
          <w:rFonts w:ascii="FrankRuehl" w:hAnsi="FrankRuehl"/>
          <w:spacing w:val="10"/>
          <w:sz w:val="28"/>
          <w:sz w:val="28"/>
          <w:rtl w:val="true"/>
        </w:rPr>
        <w:t>המשמשת ערס לגידולן של תופעות אלה</w:t>
      </w:r>
      <w:r>
        <w:rPr>
          <w:rFonts w:cs="FrankRuehl" w:ascii="FrankRuehl" w:hAnsi="FrankRuehl"/>
          <w:spacing w:val="10"/>
          <w:sz w:val="28"/>
          <w:rtl w:val="true"/>
        </w:rPr>
        <w:t xml:space="preserve">. </w:t>
      </w:r>
      <w:r>
        <w:rPr>
          <w:rFonts w:ascii="FrankRuehl" w:hAnsi="FrankRuehl"/>
          <w:spacing w:val="10"/>
          <w:sz w:val="28"/>
          <w:sz w:val="28"/>
          <w:rtl w:val="true"/>
        </w:rPr>
        <w:t>מהלך כזה מחייב הירתמות גם של בתי המשפט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>על ידי ענישה מחמירה ומרתיעה לעבירות נשק בלתי חוקי באשר הן</w:t>
      </w:r>
      <w:r>
        <w:rPr>
          <w:rFonts w:cs="FrankRuehl" w:ascii="FrankRuehl" w:hAnsi="FrankRuehl"/>
          <w:spacing w:val="10"/>
          <w:sz w:val="28"/>
          <w:rtl w:val="true"/>
        </w:rPr>
        <w:t xml:space="preserve">, </w:t>
      </w:r>
      <w:r>
        <w:rPr>
          <w:rFonts w:ascii="FrankRuehl" w:hAnsi="FrankRuehl"/>
          <w:spacing w:val="10"/>
          <w:sz w:val="28"/>
          <w:sz w:val="28"/>
          <w:rtl w:val="true"/>
        </w:rPr>
        <w:t>וכל שכן מקום שנעשה בנשק כזה שימוש בביצוע עבירות אלימות לסוגיהן</w:t>
      </w:r>
      <w:r>
        <w:rPr>
          <w:rFonts w:cs="FrankRuehl" w:ascii="FrankRuehl" w:hAnsi="FrankRuehl"/>
          <w:spacing w:val="10"/>
          <w:sz w:val="28"/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</w:rPr>
      </w:pPr>
      <w:r>
        <w:rPr>
          <w:rFonts w:cs="FrankRuehl" w:ascii="FrankRuehl" w:hAnsi="FrankRuehl"/>
          <w:spacing w:val="10"/>
          <w:sz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509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u w:val="single"/>
          <w:rtl w:val="true"/>
        </w:rPr>
        <w:t>סיכום</w:t>
      </w:r>
    </w:p>
    <w:p>
      <w:pPr>
        <w:pStyle w:val="ListParagraph"/>
        <w:spacing w:lineRule="auto" w:line="360"/>
        <w:ind w:start="509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לאור האמור לעיל אני דן את הנאשם לעונשים הבאים</w:t>
      </w:r>
      <w:r>
        <w:rPr>
          <w:rFonts w:cs="FrankRuehl" w:ascii="FrankRuehl" w:hAnsi="FrankRuehl"/>
          <w:sz w:val="28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47" w:start="793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u w:val="single"/>
        </w:rPr>
        <w:t>36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 בפועל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בניכוי  ימי מעצרו מיום </w:t>
      </w:r>
      <w:r>
        <w:rPr>
          <w:rFonts w:cs="FrankRuehl" w:ascii="FrankRuehl" w:hAnsi="FrankRuehl"/>
          <w:sz w:val="28"/>
        </w:rPr>
        <w:t>5.12.2018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ועד ליום </w:t>
      </w:r>
      <w:r>
        <w:rPr>
          <w:rFonts w:cs="FrankRuehl" w:ascii="FrankRuehl" w:hAnsi="FrankRuehl"/>
          <w:sz w:val="28"/>
        </w:rPr>
        <w:t>30.1.2019</w:t>
      </w:r>
      <w:r>
        <w:rPr>
          <w:rFonts w:cs="FrankRuehl" w:ascii="FrankRuehl" w:hAnsi="FrankRuehl"/>
          <w:sz w:val="28"/>
          <w:rtl w:val="true"/>
        </w:rPr>
        <w:t xml:space="preserve">.   </w:t>
      </w:r>
    </w:p>
    <w:p>
      <w:pPr>
        <w:pStyle w:val="ListParagraph"/>
        <w:spacing w:lineRule="auto" w:line="360"/>
        <w:ind w:start="509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509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הנאשם יתייצב למאסרו בבית סוהר ימ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ר קישון ביום </w:t>
      </w:r>
      <w:r>
        <w:rPr>
          <w:rFonts w:cs="FrankRuehl" w:ascii="FrankRuehl" w:hAnsi="FrankRuehl"/>
          <w:sz w:val="28"/>
        </w:rPr>
        <w:t>23.2.2012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עד השעה </w:t>
      </w:r>
      <w:r>
        <w:rPr>
          <w:rFonts w:cs="FrankRuehl" w:ascii="FrankRuehl" w:hAnsi="FrankRuehl"/>
          <w:sz w:val="28"/>
        </w:rPr>
        <w:t>10:00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או על פי החלטת שב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ס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כשברשותו תעודת זהות או דרכון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על הנאשם לתאם את הכניסה למאסר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כולל האפשרות למיון מוקדם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עם ענף אבחון ומיון של שב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ס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טלפונים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cs="FrankRuehl" w:ascii="FrankRuehl" w:hAnsi="FrankRuehl"/>
          <w:sz w:val="28"/>
        </w:rPr>
        <w:t>08-9787377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08-9787336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509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93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u w:val="single"/>
        </w:rPr>
        <w:t>6</w:t>
      </w:r>
      <w:r>
        <w:rPr>
          <w:rFonts w:cs="FrankRuehl" w:ascii="FrankRuehl" w:hAnsi="FrankRuehl"/>
          <w:sz w:val="28"/>
          <w:u w:val="single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 על תנאי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הנאשם לא ישא את עונש המאסר על  תנאי </w:t>
      </w:r>
      <w:r>
        <w:rPr>
          <w:rStyle w:val="default"/>
          <w:rFonts w:ascii="FrankRuehl" w:hAnsi="FrankRuehl"/>
          <w:sz w:val="28"/>
          <w:sz w:val="28"/>
          <w:rtl w:val="true"/>
        </w:rPr>
        <w:t>אלא אם יעבור תוך שלוש שנים אחת העבירות בהן הורשע ויורשע בשל עבירה כזאת תוך תקופת התנאי או לאחריה</w:t>
      </w:r>
      <w:r>
        <w:rPr>
          <w:rStyle w:val="default"/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793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start="509"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 xml:space="preserve">לאור האמור בהסכם הסולחה ודברי </w:t>
      </w:r>
      <w:r>
        <w:rPr>
          <w:rFonts w:ascii="FrankRuehl" w:hAnsi="FrankRuehl"/>
          <w:sz w:val="28"/>
          <w:sz w:val="28"/>
          <w:rtl w:val="true"/>
        </w:rPr>
        <w:t xml:space="preserve">המתלונן </w:t>
      </w:r>
      <w:r>
        <w:rPr>
          <w:rFonts w:ascii="FrankRuehl" w:hAnsi="FrankRuehl"/>
          <w:sz w:val="28"/>
          <w:sz w:val="28"/>
          <w:rtl w:val="true"/>
        </w:rPr>
        <w:t>כמתואר בתסקיר נפגע העבירה לפיה הוא מוותר על הפיצויים המגיעים לו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לא אפסוק פיצוי למתלונן ובני משפחתו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אין בקביעה זו כדי למנוע מהם  לתבוע פיצוי בהליך נפרד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start="509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המזכירות תשלח העתק מגזר הדין לשירות המבחן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ז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כות ערעור לבית המשפט העליון תוך </w:t>
      </w:r>
      <w:r>
        <w:rPr>
          <w:rFonts w:cs="FrankRuehl" w:ascii="FrankRuehl" w:hAnsi="FrankRuehl"/>
          <w:sz w:val="28"/>
          <w:szCs w:val="28"/>
          <w:u w:val="single"/>
        </w:rPr>
        <w:t>45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יום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טבת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שני בן גיגי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bookmarkEnd w:id="9"/>
      <w:r>
        <w:rPr>
          <w:rFonts w:ascii="Arial" w:hAnsi="Arial" w:cs="Arial"/>
          <w:rtl w:val="true"/>
        </w:rPr>
        <w:t>כנעאנה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בעצמו והמתורגמן לשפה הערבית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וזף פאר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54308-12-18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סועאד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51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2">
    <w:name w:val="WW8Num1z2"/>
    <w:qFormat/>
    <w:rPr>
      <w:rFonts w:ascii="Arial" w:hAnsi="Arial" w:eastAsia="Times New Roman" w:cs="FrankRueh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Arial" w:hAnsi="Arial" w:cs="FrankRuehl"/>
      <w:szCs w:val="28"/>
    </w:rPr>
  </w:style>
  <w:style w:type="paragraph" w:styleId="Ruller42">
    <w:name w:val="Ruller4"/>
    <w:basedOn w:val="Normal"/>
    <w:qFormat/>
    <w:pPr>
      <w:overflowPunct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  <w:ind w:hanging="0" w:start="0" w:end="72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3.a.1" TargetMode="External"/><Relationship Id="rId10" Type="http://schemas.openxmlformats.org/officeDocument/2006/relationships/hyperlink" Target="http://www.nevo.co.il/law/70301/335" TargetMode="External"/><Relationship Id="rId11" Type="http://schemas.openxmlformats.org/officeDocument/2006/relationships/hyperlink" Target="http://www.nevo.co.il/law/70301/335.a.1.2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48" TargetMode="External"/><Relationship Id="rId14" Type="http://schemas.openxmlformats.org/officeDocument/2006/relationships/hyperlink" Target="http://www.nevo.co.il/law/70301/25;29;333;335.a.1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9;144.b" TargetMode="External"/><Relationship Id="rId17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case/21474168" TargetMode="External"/><Relationship Id="rId20" Type="http://schemas.openxmlformats.org/officeDocument/2006/relationships/hyperlink" Target="http://www.nevo.co.il/case/5995135" TargetMode="External"/><Relationship Id="rId21" Type="http://schemas.openxmlformats.org/officeDocument/2006/relationships/hyperlink" Target="http://www.nevo.co.il/case/5568354" TargetMode="External"/><Relationship Id="rId22" Type="http://schemas.openxmlformats.org/officeDocument/2006/relationships/hyperlink" Target="http://www.nevo.co.il/case/18653904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335;333.a.1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48" TargetMode="External"/><Relationship Id="rId28" Type="http://schemas.openxmlformats.org/officeDocument/2006/relationships/hyperlink" Target="http://www.nevo.co.il/case/21472842" TargetMode="External"/><Relationship Id="rId29" Type="http://schemas.openxmlformats.org/officeDocument/2006/relationships/hyperlink" Target="http://www.nevo.co.il/case/5146128" TargetMode="External"/><Relationship Id="rId30" Type="http://schemas.openxmlformats.org/officeDocument/2006/relationships/hyperlink" Target="http://www.nevo.co.il/case/5587202" TargetMode="External"/><Relationship Id="rId31" Type="http://schemas.openxmlformats.org/officeDocument/2006/relationships/hyperlink" Target="http://www.nevo.co.il/law/70301/40i" TargetMode="External"/><Relationship Id="rId32" Type="http://schemas.openxmlformats.org/officeDocument/2006/relationships/hyperlink" Target="http://www.nevo.co.il/case/7985582" TargetMode="External"/><Relationship Id="rId33" Type="http://schemas.openxmlformats.org/officeDocument/2006/relationships/hyperlink" Target="http://www.nevo.co.il/law/70301/40ja" TargetMode="External"/><Relationship Id="rId34" Type="http://schemas.openxmlformats.org/officeDocument/2006/relationships/hyperlink" Target="http://www.nevo.co.il/case/22961891" TargetMode="External"/><Relationship Id="rId35" Type="http://schemas.openxmlformats.org/officeDocument/2006/relationships/hyperlink" Target="http://www.nevo.co.il/case/20891758" TargetMode="External"/><Relationship Id="rId36" Type="http://schemas.openxmlformats.org/officeDocument/2006/relationships/hyperlink" Target="http://www.nevo.co.il/case/21472459" TargetMode="External"/><Relationship Id="rId37" Type="http://schemas.openxmlformats.org/officeDocument/2006/relationships/hyperlink" Target="http://www.nevo.co.il/case/25824863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2020-01-26T13:07:00Z</dcterms:created>
  <dc:creator> </dc:creator>
  <dc:description/>
  <cp:keywords/>
  <dc:language>en-IL</dc:language>
  <cp:lastModifiedBy>h10</cp:lastModifiedBy>
  <dcterms:modified xsi:type="dcterms:W3CDTF">2020-01-26T13:07:00Z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סועאד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21474168;5995135;5568354;18653904;21472842;5146128;5587202;7985582;22961891;20891758;21472459;25824863</vt:lpwstr>
  </property>
  <property fmtid="{D5CDD505-2E9C-101B-9397-08002B2CF9AE}" pid="9" name="CITY">
    <vt:lpwstr>חי'</vt:lpwstr>
  </property>
  <property fmtid="{D5CDD505-2E9C-101B-9397-08002B2CF9AE}" pid="10" name="DATE">
    <vt:lpwstr>20200121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70301/025:2;029:2;333;335.a.1.2;144.b:3;040b;335;333.a.1;448;040i;40ja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54308</vt:lpwstr>
  </property>
  <property fmtid="{D5CDD505-2E9C-101B-9397-08002B2CF9AE}" pid="22" name="NEWPARTB">
    <vt:lpwstr>12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390020200121</vt:lpwstr>
  </property>
  <property fmtid="{D5CDD505-2E9C-101B-9397-08002B2CF9AE}" pid="34" name="TYPE_N_DATE">
    <vt:lpwstr>39020200121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