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54322-01-12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725"/>
        <w:gridCol w:w="1062"/>
        <w:gridCol w:w="3637"/>
        <w:gridCol w:w="81"/>
      </w:tblGrid>
      <w:tr>
        <w:trPr>
          <w:trHeight w:val="337" w:hRule="atLeast"/>
        </w:trPr>
        <w:tc>
          <w:tcPr>
            <w:tcW w:w="394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ורדה מרוז</w:t>
            </w:r>
          </w:p>
        </w:tc>
        <w:tc>
          <w:tcPr>
            <w:tcW w:w="1062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37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0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0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מאזן עבדו 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bookmarkStart w:id="3" w:name="_GoBack"/>
      <w:r>
        <w:rPr>
          <w:b w:val="false"/>
          <w:b w:val="false"/>
          <w:bCs w:val="false"/>
          <w:u w:val="none"/>
          <w:rtl w:val="true"/>
        </w:rPr>
        <w:t xml:space="preserve">רונית פוזננסקי </w:t>
      </w:r>
      <w:bookmarkEnd w:id="3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גיורא זילברשטיין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David"/>
          <w:sz w:val="24"/>
          <w:szCs w:val="24"/>
        </w:rPr>
      </w:pPr>
      <w:bookmarkStart w:id="7" w:name="ABSTRACT_START"/>
      <w:bookmarkEnd w:id="7"/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הודאתו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ובמסגרת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הסדר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טיעון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החזקת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ונשיאת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נשק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סעיפים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144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א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רישא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וסיפא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2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התשל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ז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1977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סעיף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144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ב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szCs w:val="24"/>
          <w:rtl w:val="true"/>
        </w:rPr>
        <w:t>רישא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העונשין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החזקת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נכס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כגנוב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סעיף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413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3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David"/>
          <w:sz w:val="24"/>
          <w:szCs w:val="24"/>
        </w:rPr>
      </w:pPr>
      <w:bookmarkStart w:id="8" w:name="ABSTRACT_END"/>
      <w:bookmarkEnd w:id="8"/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עובדות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כתב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האישום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בתאריך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15.3.10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נתפס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בחזקתו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ביחד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אחיו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איאד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עבדו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אקדח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מסוג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קולט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9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מ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מחסנית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קליעים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בקוטר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9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מ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cs="David" w:ascii="Arial" w:hAnsi="Arial"/>
          <w:sz w:val="24"/>
          <w:szCs w:val="24"/>
          <w:rtl w:val="true"/>
        </w:rPr>
        <w:t xml:space="preserve">: 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ascii="Arial" w:hAnsi="Arial" w:cs="David"/>
          <w:b/>
          <w:b/>
          <w:bCs/>
          <w:rtl w:val="true"/>
        </w:rPr>
        <w:t>הנשק</w:t>
      </w:r>
      <w:r>
        <w:rPr>
          <w:rFonts w:cs="David" w:ascii="Arial" w:hAnsi="Arial"/>
          <w:b/>
          <w:bCs/>
          <w:rtl w:val="true"/>
        </w:rPr>
        <w:t>"</w:t>
      </w:r>
      <w:r>
        <w:rPr>
          <w:rFonts w:cs="David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David"/>
          <w:sz w:val="24"/>
          <w:sz w:val="24"/>
          <w:szCs w:val="24"/>
          <w:rtl w:val="true"/>
        </w:rPr>
        <w:t>כן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החזיק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בגז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מדמיע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צה</w:t>
      </w: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החזיק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לאורך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כשנתיים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למועד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תפיסתו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ונשא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במהלך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נסיעותיו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כנהג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משאית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במסגרת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הסדר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הטיעון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עתרו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הצדדים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במשותף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להשית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תקופת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350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מותנה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לשיטתם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המוסכם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מאזן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נכונה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האינטרסים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השונים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נסיבותיו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האישיות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ותואם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רמת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הנוהגת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מתוך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תסקיר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המבחן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שהוגש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עולה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בצעיר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נורמטיבי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משפחה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מעורבות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קודמת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בפלילים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ברקע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cs="David" w:ascii="Arial" w:hAnsi="Arial"/>
          <w:sz w:val="24"/>
          <w:szCs w:val="24"/>
          <w:rtl w:val="true"/>
        </w:rPr>
        <w:t xml:space="preserve">,  </w:t>
      </w:r>
      <w:r>
        <w:rPr>
          <w:rFonts w:ascii="Arial" w:hAnsi="Arial" w:cs="David"/>
          <w:sz w:val="24"/>
          <w:sz w:val="24"/>
          <w:szCs w:val="24"/>
          <w:rtl w:val="true"/>
        </w:rPr>
        <w:t>מעשה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שבוצע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כארבע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קודם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לכן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בעקבותיו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נפגע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ומשאיתו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נגנבה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האירוע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נחווה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ידי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כטראומתי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והשפיע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מצבו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הנפשי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בהינתן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העובדה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17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קודם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לכן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אביו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נרצח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דומות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נשדד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במהלך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עבודתו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אובחן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כסובל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מפוסט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ascii="Arial" w:hAnsi="Arial" w:cs="David"/>
          <w:sz w:val="24"/>
          <w:sz w:val="24"/>
          <w:szCs w:val="24"/>
          <w:rtl w:val="true"/>
        </w:rPr>
        <w:t>טראומה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ולאורך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תקופה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טופל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באמצעות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תרופות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sz w:val="24"/>
          <w:sz w:val="24"/>
          <w:szCs w:val="24"/>
          <w:rtl w:val="true"/>
        </w:rPr>
        <w:t>פסיכיאטריות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בהתייחסו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הביע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צער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וחרטה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ושלל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כוונה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לעשות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שימוש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עברייני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באקדח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שירות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המבחן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התרשם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מדובר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באדם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דפוסי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התנהגות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עברייניים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המליץ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ענישה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עבודות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שירות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כאמור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המוסכם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לשנת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אין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להכביר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במילים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לחומרת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והשלכותיהן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בעצם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נשיאת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היתר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סיכן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הציבור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בכלל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ואותו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עצמו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בפרט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אחרות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היה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ראוי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להשית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חמור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המוסכם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אולם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שנתתי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דעתי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לנסיבותיו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האישיות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שוכנעתי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המוסכם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חורג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ממתחם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לכבדו</w:t>
      </w:r>
      <w:r>
        <w:rPr>
          <w:rFonts w:cs="David" w:ascii="Arial" w:hAnsi="Arial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240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גוזרת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העונשים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הבאים</w:t>
      </w:r>
      <w:r>
        <w:rPr>
          <w:rFonts w:cs="David" w:ascii="Arial" w:hAnsi="Arial"/>
          <w:sz w:val="24"/>
          <w:szCs w:val="24"/>
          <w:rtl w:val="true"/>
        </w:rPr>
        <w:t>:</w:t>
      </w:r>
    </w:p>
    <w:p>
      <w:pPr>
        <w:pStyle w:val="ListParagraph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643"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</w:rPr>
        <w:t>350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ימי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בניכוי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ימי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מעצרו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22.1.12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28.2.12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start="1080"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643"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</w:rPr>
        <w:t>12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חודשי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תנאי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3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שנים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והתנאי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לא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יעבור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נשק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ListParagraph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זכות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ערעור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תוך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45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משפט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עליון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#4#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 ניסן 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/>
        <w:t>08/04/2013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ורדה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מרוז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תנאי השחרור שהושתו על הנאשם ישונו 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האיזוק האלקטרוני יוסר וכן התנאים המגבילים יוסרו אף 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הפיקדון בסך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שהופקד ב</w:t>
      </w:r>
      <w:hyperlink r:id="rId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 xml:space="preserve">ת </w:t>
        </w:r>
        <w:r>
          <w:rPr>
            <w:rStyle w:val="Hyperlink"/>
            <w:color w:val="0000FF"/>
            <w:u w:val="single"/>
          </w:rPr>
          <w:t>54333-01-12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יישאר על כנו להבטחת התייצבות הנאשם למאסרו ביום </w:t>
      </w:r>
      <w:r>
        <w:rPr/>
        <w:t>1.7.13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9:00</w:t>
      </w:r>
      <w:r>
        <w:rPr>
          <w:rtl w:val="true"/>
        </w:rPr>
        <w:t xml:space="preserve"> </w:t>
      </w:r>
      <w:r>
        <w:rPr>
          <w:rtl w:val="true"/>
        </w:rPr>
        <w:t>בכלא הדרים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עם התייצבות הנאשם למאסרו</w:t>
      </w:r>
      <w:r>
        <w:rPr>
          <w:rtl w:val="true"/>
        </w:rPr>
        <w:t xml:space="preserve">, </w:t>
      </w:r>
      <w:r>
        <w:rPr>
          <w:rtl w:val="true"/>
        </w:rPr>
        <w:t xml:space="preserve">יוחזר הפיקדון לחשבון מספר </w:t>
      </w:r>
      <w:r>
        <w:rPr/>
        <w:t>28857/84</w:t>
      </w:r>
      <w:r>
        <w:rPr>
          <w:rtl w:val="true"/>
        </w:rPr>
        <w:t xml:space="preserve">, </w:t>
      </w:r>
      <w:r>
        <w:rPr>
          <w:rtl w:val="true"/>
        </w:rPr>
        <w:t xml:space="preserve">בנק לאומי סניף </w:t>
      </w:r>
      <w:r>
        <w:rPr/>
        <w:t>937</w:t>
      </w:r>
      <w:r>
        <w:rPr>
          <w:rtl w:val="true"/>
        </w:rPr>
        <w:t xml:space="preserve">, </w:t>
      </w:r>
      <w:r>
        <w:rPr>
          <w:rtl w:val="true"/>
        </w:rPr>
        <w:t>על שם מר עבדו איאד ת</w:t>
      </w:r>
      <w:r>
        <w:rPr>
          <w:rtl w:val="true"/>
        </w:rPr>
        <w:t>.</w:t>
      </w:r>
      <w:r>
        <w:rPr>
          <w:rtl w:val="true"/>
        </w:rPr>
        <w:t xml:space="preserve">ז </w:t>
      </w:r>
      <w:r>
        <w:rPr/>
        <w:t>310061700</w:t>
      </w:r>
      <w:r>
        <w:rPr>
          <w:rtl w:val="true"/>
        </w:rPr>
        <w:t xml:space="preserve">, </w:t>
      </w:r>
      <w:r>
        <w:rPr>
          <w:rtl w:val="true"/>
        </w:rPr>
        <w:t xml:space="preserve">רחוב סטרומה </w:t>
      </w:r>
      <w:r>
        <w:rPr/>
        <w:t>68/10</w:t>
      </w:r>
      <w:r>
        <w:rPr>
          <w:rtl w:val="true"/>
        </w:rPr>
        <w:t xml:space="preserve">, </w:t>
      </w:r>
      <w:r>
        <w:rPr>
          <w:rtl w:val="true"/>
        </w:rPr>
        <w:t>לוד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רשמתי את הצהרת הנאשם כי הוא מסכים שסכום הפיקדון יועבר לחשבונו של אחיו כמפורט בסעיף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  </w:t>
        <w:tab/>
      </w:r>
      <w:r>
        <w:rPr>
          <w:rtl w:val="true"/>
        </w:rPr>
        <w:t>ניתן בזאת צו שאוסר את יציאתו של הנאשם מישראל עד למועד שחרורו מן 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  </w:t>
      </w:r>
      <w:r>
        <w:rPr>
          <w:rtl w:val="true"/>
        </w:rPr>
        <w:tab/>
      </w:r>
      <w:r>
        <w:rPr>
          <w:rtl w:val="true"/>
        </w:rPr>
        <w:t xml:space="preserve">הנאשם יפקיד את דרכונו בתוך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 בתיק 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08/04/2013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ורדה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מרוז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 w:val="18"/>
          <w:szCs w:val="18"/>
          <w:rtl w:val="true"/>
        </w:rPr>
        <w:t>קלדנית</w:t>
      </w:r>
      <w:r>
        <w:rPr>
          <w:sz w:val="18"/>
          <w:szCs w:val="18"/>
          <w:rtl w:val="true"/>
        </w:rPr>
        <w:t xml:space="preserve">: </w:t>
      </w:r>
      <w:r>
        <w:rPr>
          <w:sz w:val="18"/>
          <w:sz w:val="18"/>
          <w:szCs w:val="18"/>
          <w:rtl w:val="true"/>
        </w:rPr>
        <w:t>לילך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54322-01-12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מאזן עבדו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NEWPROC=&#1502;&#1514;&amp;NEWPARTA=54333&amp;NEWPARTB=01&amp;NEWPARTC=12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2013-04-14T11:50:00Z</dcterms:created>
  <dc:creator> </dc:creator>
  <dc:description/>
  <cp:keywords/>
  <dc:language>en-IL</dc:language>
  <cp:lastModifiedBy>hofit</cp:lastModifiedBy>
  <dcterms:modified xsi:type="dcterms:W3CDTF">2013-04-14T11:50:00Z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מאזן עבדו</vt:lpwstr>
  </property>
  <property fmtid="{D5CDD505-2E9C-101B-9397-08002B2CF9AE}" pid="4" name="CITY">
    <vt:lpwstr>מרכז</vt:lpwstr>
  </property>
  <property fmtid="{D5CDD505-2E9C-101B-9397-08002B2CF9AE}" pid="5" name="DATE">
    <vt:lpwstr>20130408</vt:lpwstr>
  </property>
  <property fmtid="{D5CDD505-2E9C-101B-9397-08002B2CF9AE}" pid="6" name="ISABSTRACT">
    <vt:lpwstr>Y</vt:lpwstr>
  </property>
  <property fmtid="{D5CDD505-2E9C-101B-9397-08002B2CF9AE}" pid="7" name="JUDGE">
    <vt:lpwstr>ורדה מרוז</vt:lpwstr>
  </property>
  <property fmtid="{D5CDD505-2E9C-101B-9397-08002B2CF9AE}" pid="8" name="LAWYER">
    <vt:lpwstr>רונית פוזננסקי;גיורא זילברשטיין</vt:lpwstr>
  </property>
  <property fmtid="{D5CDD505-2E9C-101B-9397-08002B2CF9AE}" pid="9" name="NEWPARTA">
    <vt:lpwstr>54322</vt:lpwstr>
  </property>
  <property fmtid="{D5CDD505-2E9C-101B-9397-08002B2CF9AE}" pid="10" name="NEWPARTB">
    <vt:lpwstr>01</vt:lpwstr>
  </property>
  <property fmtid="{D5CDD505-2E9C-101B-9397-08002B2CF9AE}" pid="11" name="NEWPARTC">
    <vt:lpwstr>12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390020130408</vt:lpwstr>
  </property>
  <property fmtid="{D5CDD505-2E9C-101B-9397-08002B2CF9AE}" pid="16" name="TYPE_N_DATE">
    <vt:lpwstr>39020130408</vt:lpwstr>
  </property>
  <property fmtid="{D5CDD505-2E9C-101B-9397-08002B2CF9AE}" pid="17" name="WORDNUMPAGES">
    <vt:lpwstr>3</vt:lpwstr>
  </property>
</Properties>
</file>