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66"/>
        <w:gridCol w:w="4539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396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בפני כב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>ס</w:t>
            </w:r>
            <w:r>
              <w:rPr>
                <w:rFonts w:cs="David" w:ascii="David" w:hAnsi="David"/>
                <w:b/>
                <w:bCs/>
                <w:rtl w:val="true"/>
              </w:rPr>
              <w:t>.</w:t>
            </w:r>
            <w:r>
              <w:rPr>
                <w:rFonts w:ascii="David" w:hAnsi="David"/>
                <w:b/>
                <w:b/>
                <w:bCs/>
                <w:rtl w:val="true"/>
              </w:rPr>
              <w:t>הנשיאה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השופט אליהו ביתן </w:t>
            </w:r>
          </w:p>
        </w:tc>
        <w:tc>
          <w:tcPr>
            <w:tcW w:w="4539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09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בדצמבר </w:t>
            </w:r>
            <w:r>
              <w:rPr>
                <w:rFonts w:cs="David" w:ascii="David" w:hAnsi="David"/>
                <w:b/>
                <w:bCs/>
              </w:rPr>
              <w:t>2019</w:t>
            </w:r>
            <w:r>
              <w:rPr>
                <w:rFonts w:cs="David" w:ascii="David" w:hAnsi="David"/>
                <w:b/>
                <w:bCs/>
                <w:rtl w:val="true"/>
              </w:rPr>
              <w:br/>
              <w:br/>
            </w: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</w:rPr>
              <w:t>54384-09-19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>אבו עסא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</w:tc>
      </w:tr>
    </w:tbl>
    <w:p>
      <w:pPr>
        <w:pStyle w:val="Header"/>
        <w:ind w:end="0"/>
        <w:jc w:val="start"/>
        <w:rPr/>
      </w:pPr>
      <w:bookmarkStart w:id="0" w:name="LastJudge"/>
      <w:bookmarkEnd w:id="0"/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246"/>
        <w:gridCol w:w="3947"/>
        <w:gridCol w:w="3627"/>
      </w:tblGrid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3947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eastAsia="David" w:cs="David" w:ascii="David" w:hAnsi="David"/>
                <w:b/>
                <w:bCs/>
                <w:rtl w:val="true"/>
              </w:rPr>
              <w:t xml:space="preserve">     </w:t>
            </w:r>
          </w:p>
        </w:tc>
        <w:tc>
          <w:tcPr>
            <w:tcW w:w="3627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bookmarkStart w:id="1" w:name="FirstAppellant"/>
            <w:bookmarkEnd w:id="1"/>
            <w:r>
              <w:rPr>
                <w:rFonts w:ascii="David" w:hAnsi="David"/>
                <w:b/>
                <w:b/>
                <w:bCs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3947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מדינת ישראל</w:t>
            </w:r>
          </w:p>
        </w:tc>
        <w:tc>
          <w:tcPr>
            <w:tcW w:w="3627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  <w:tc>
          <w:tcPr>
            <w:tcW w:w="7574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124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הנאשם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3947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ascii="David" w:hAnsi="David"/>
                <w:b/>
                <w:b/>
                <w:bCs/>
                <w:rtl w:val="true"/>
              </w:rPr>
              <w:t>נאו</w:t>
            </w:r>
            <w:r>
              <w:rPr>
                <w:rFonts w:ascii="David" w:hAnsi="David"/>
                <w:b/>
                <w:b/>
                <w:bCs/>
                <w:rtl w:val="true"/>
              </w:rPr>
              <w:t>ף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 אבו עסא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</w:tc>
        <w:tc>
          <w:tcPr>
            <w:tcW w:w="3627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2" w:name="LawTable"/>
      <w:bookmarkEnd w:id="2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3" w:name="LawTable_End"/>
      <w:bookmarkStart w:id="4" w:name="LawTable_End"/>
      <w:bookmarkEnd w:id="4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5" w:name="PsakDin"/>
            <w:bookmarkEnd w:id="5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6" w:name="ABSTRACT_START"/>
      <w:bookmarkEnd w:id="6"/>
      <w:r>
        <w:rPr>
          <w:rFonts w:ascii="David" w:hAnsi="David"/>
          <w:rtl w:val="true"/>
        </w:rPr>
        <w:t xml:space="preserve">בתאריך </w:t>
      </w:r>
      <w:r>
        <w:rPr>
          <w:rFonts w:cs="David" w:ascii="David" w:hAnsi="David"/>
        </w:rPr>
        <w:t>05.09.19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סמוך לשעה </w:t>
      </w:r>
      <w:r>
        <w:rPr>
          <w:rFonts w:cs="David" w:ascii="David" w:hAnsi="David"/>
        </w:rPr>
        <w:t>22:00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הלך לאורך כביש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בבאר שבע כשהוא נושא על גופו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בכיס חולצתו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אקדח חצי אוטומטי </w:t>
      </w:r>
      <w:r>
        <w:rPr>
          <w:rFonts w:cs="David" w:ascii="David" w:hAnsi="David"/>
        </w:rPr>
        <w:t>CZ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טעון במחסנית ובה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תחמושת של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היתר על פי דין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 xml:space="preserve">הנאשם הודה בעובדות אלה והורשע בעבירה של נשיאה והובלת נשק לפי </w:t>
      </w:r>
      <w:hyperlink r:id="rId4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וסיפא ל</w:t>
      </w:r>
      <w:hyperlink r:id="rId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 –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הודאת הנאשם באה במסגרת הסדר טיעון שבגדרו המליצו הצדדים לבית המשפט להטיל על הנאשם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מאסר על תנאי וקנס בסך </w:t>
      </w:r>
      <w:r>
        <w:rPr>
          <w:rFonts w:cs="David" w:ascii="David" w:hAnsi="David"/>
        </w:rPr>
        <w:t>5,000</w:t>
      </w:r>
      <w:r>
        <w:rPr>
          <w:rFonts w:cs="David" w:ascii="David" w:hAnsi="David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המאשימה טענה כי העבירה בה הורשע הנאשם מסכנת את הציבור ושמדיניות הענישה בעבירות מסוג זה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והוסיפה שהנאשם נשא את הנשק כשהוא טעון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לקולה ציינה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שהנאשם 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הודה וחסך זמן שיפוטי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וטענה שהעונש המוצע ראוי ויש לאמצו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הצטרף לדברי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ציין כי הנאשם נשא את האקדח מחוץ לתחומי העיר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בכביש בין עירוני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וציין שהנאשם הודה בהזדמנות הראשונה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לקח אחריות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נעדר עבר פלילי ואב לילדים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הנאשם סיפר כי הוא אב ל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ילדים מגיל שנה וחצי ועד שמונה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והוא עובד אצל קבלן עפר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נשק הוא כלי מסוכן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החזקתו מחייבת רישוי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שקודמות לו בדיקות שונות והכשרה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הסיכון הגלום בהחזקתו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נשיאתו ושימוש בו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ברור מאליו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העובדה שבאקדח היתה מחסנית עם תחמושת מוסיפה לחומרת המעשה ולסיכון הנובע ממנו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לאחר ששקלתי בדבר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באתי למסקנה כי יש לכבד את הסדר הטיעון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cs="David" w:ascii="David" w:hAnsi="David"/>
          <w:b/>
          <w:rtl w:val="true"/>
          <w:lang w:eastAsia="he-IL"/>
        </w:rPr>
        <w:t>"</w:t>
      </w:r>
      <w:r>
        <w:rPr>
          <w:rFonts w:ascii="David" w:hAnsi="David"/>
          <w:b/>
          <w:b/>
          <w:rtl w:val="true"/>
          <w:lang w:eastAsia="he-IL"/>
        </w:rPr>
        <w:t xml:space="preserve">הסדר טיעון </w:t>
      </w:r>
      <w:r>
        <w:rPr>
          <w:rFonts w:ascii="David" w:hAnsi="David"/>
          <w:rtl w:val="true"/>
          <w:lang w:eastAsia="he-IL"/>
        </w:rPr>
        <w:t>– באשר הוא – אינו רק שיקול אחד ככל יתר השיקולים העומדים בפני בית</w:t>
      </w:r>
      <w:r>
        <w:rPr>
          <w:rFonts w:cs="David" w:ascii="David" w:hAnsi="David"/>
          <w:vertAlign w:val="superscript"/>
          <w:rtl w:val="true"/>
          <w:lang w:eastAsia="he-IL"/>
        </w:rPr>
        <w:t>-</w:t>
      </w:r>
      <w:r>
        <w:rPr>
          <w:rFonts w:ascii="David" w:hAnsi="David"/>
          <w:rtl w:val="true"/>
          <w:lang w:eastAsia="he-IL"/>
        </w:rPr>
        <w:t>המשפט הגוזר את העונש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הסדר טיעון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כשהוא לעצמו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הוא שיקול מרכזי בגזירת הדין הן מטעמים של אינטרס הציבור הן כדי למלא אחר ציפיות הנאשם המוותר בהודאתו על זכותו לניהול ההליך הפלילי עד תומו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האינטרס הציבורי במובנו הרחב מחייב את בתי</w:t>
      </w:r>
      <w:r>
        <w:rPr>
          <w:rFonts w:cs="David" w:ascii="David" w:hAnsi="David"/>
          <w:vertAlign w:val="superscript"/>
          <w:rtl w:val="true"/>
          <w:lang w:eastAsia="he-IL"/>
        </w:rPr>
        <w:t>-</w:t>
      </w:r>
      <w:r>
        <w:rPr>
          <w:rFonts w:ascii="David" w:hAnsi="David"/>
          <w:rtl w:val="true"/>
          <w:lang w:eastAsia="he-IL"/>
        </w:rPr>
        <w:t>המשפט לעודד קיומם של הסדרי טיעון</w:t>
      </w:r>
      <w:r>
        <w:rPr>
          <w:rFonts w:cs="David" w:ascii="David" w:hAnsi="David"/>
          <w:rtl w:val="true"/>
          <w:lang w:eastAsia="he-IL"/>
        </w:rPr>
        <w:t xml:space="preserve">. </w:t>
      </w:r>
      <w:r>
        <w:rPr>
          <w:rFonts w:ascii="David" w:hAnsi="David"/>
          <w:rtl w:val="true"/>
          <w:lang w:eastAsia="he-IL"/>
        </w:rPr>
        <w:t>קיום הסדרי טיעון מאפשר פריסה רחבה יותר של אכיפת החוק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ובכך יש כוח מרתיע כשלעצמו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העשוי לאזן את אפקט ההקלה בעונש במקרה הקונקרטי</w:t>
      </w:r>
      <w:r>
        <w:rPr>
          <w:rFonts w:cs="David" w:ascii="David" w:hAnsi="David"/>
          <w:rtl w:val="true"/>
          <w:lang w:eastAsia="he-IL"/>
        </w:rPr>
        <w:t>. ...</w:t>
      </w:r>
      <w:r>
        <w:rPr>
          <w:rFonts w:ascii="David" w:hAnsi="David"/>
          <w:rtl w:val="true"/>
          <w:lang w:eastAsia="he-IL"/>
        </w:rPr>
        <w:t>ככלל</w:t>
      </w:r>
      <w:r>
        <w:rPr>
          <w:rFonts w:cs="David" w:ascii="David" w:hAnsi="David"/>
          <w:rtl w:val="true"/>
          <w:lang w:eastAsia="he-IL"/>
        </w:rPr>
        <w:t xml:space="preserve">, </w:t>
      </w:r>
      <w:r>
        <w:rPr>
          <w:rFonts w:ascii="David" w:hAnsi="David"/>
          <w:rtl w:val="true"/>
          <w:lang w:eastAsia="he-IL"/>
        </w:rPr>
        <w:t>בית</w:t>
      </w:r>
      <w:r>
        <w:rPr>
          <w:rFonts w:cs="David" w:ascii="David" w:hAnsi="David"/>
          <w:vertAlign w:val="superscript"/>
          <w:rtl w:val="true"/>
          <w:lang w:eastAsia="he-IL"/>
        </w:rPr>
        <w:t>-</w:t>
      </w:r>
      <w:r>
        <w:rPr>
          <w:rFonts w:ascii="David" w:hAnsi="David"/>
          <w:rtl w:val="true"/>
          <w:lang w:eastAsia="he-IL"/>
        </w:rPr>
        <w:t>המשפט יראה לקיים את הסדר הטיעון בשל הטעמים הקשורים בחשיבותם ובמעמדם של הסדרי הטיעון</w:t>
      </w:r>
      <w:r>
        <w:rPr>
          <w:rFonts w:cs="David" w:ascii="David" w:hAnsi="David"/>
          <w:rtl w:val="true"/>
          <w:lang w:eastAsia="he-IL"/>
        </w:rPr>
        <w:t xml:space="preserve">". - </w:t>
      </w:r>
      <w:r>
        <w:rPr>
          <w:rFonts w:ascii="David" w:hAnsi="David"/>
          <w:color w:val="000000"/>
          <w:rtl w:val="true"/>
          <w:lang w:eastAsia="he-IL"/>
        </w:rPr>
        <w:t>ע</w:t>
      </w:r>
      <w:r>
        <w:rPr>
          <w:rFonts w:cs="David" w:ascii="David" w:hAnsi="David"/>
          <w:color w:val="000000"/>
          <w:rtl w:val="true"/>
          <w:lang w:eastAsia="he-IL"/>
        </w:rPr>
        <w:t>"</w:t>
      </w:r>
      <w:r>
        <w:rPr>
          <w:rFonts w:ascii="David" w:hAnsi="David"/>
          <w:color w:val="000000"/>
          <w:rtl w:val="true"/>
          <w:lang w:eastAsia="he-IL"/>
        </w:rPr>
        <w:t xml:space="preserve">פ </w:t>
      </w:r>
      <w:r>
        <w:rPr>
          <w:rFonts w:cs="David" w:ascii="David" w:hAnsi="David"/>
          <w:color w:val="000000"/>
          <w:lang w:eastAsia="he-IL"/>
        </w:rPr>
        <w:t>1958/98</w:t>
      </w:r>
      <w:r>
        <w:rPr>
          <w:rFonts w:cs="David" w:ascii="David" w:hAnsi="David"/>
          <w:color w:val="000000"/>
          <w:rtl w:val="true"/>
          <w:lang w:eastAsia="he-IL"/>
        </w:rPr>
        <w:t xml:space="preserve">‏ </w:t>
      </w:r>
      <w:r>
        <w:rPr>
          <w:rFonts w:ascii="David" w:hAnsi="David"/>
          <w:color w:val="000000"/>
          <w:rtl w:val="true"/>
          <w:lang w:eastAsia="he-IL"/>
        </w:rPr>
        <w:t>פלוני נ</w:t>
      </w:r>
      <w:r>
        <w:rPr>
          <w:rFonts w:cs="David" w:ascii="David" w:hAnsi="David"/>
          <w:color w:val="000000"/>
          <w:rtl w:val="true"/>
          <w:lang w:eastAsia="he-IL"/>
        </w:rPr>
        <w:t xml:space="preserve">' </w:t>
      </w:r>
      <w:r>
        <w:rPr>
          <w:rFonts w:ascii="David" w:hAnsi="David"/>
          <w:color w:val="000000"/>
          <w:rtl w:val="true"/>
          <w:lang w:eastAsia="he-IL"/>
        </w:rPr>
        <w:t>מדינת ישראל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פ</w:t>
      </w:r>
      <w:r>
        <w:rPr>
          <w:rFonts w:cs="David" w:ascii="David" w:hAnsi="David"/>
          <w:color w:val="000000"/>
          <w:rtl w:val="true"/>
          <w:lang w:eastAsia="he-IL"/>
        </w:rPr>
        <w:t>''</w:t>
      </w:r>
      <w:r>
        <w:rPr>
          <w:rFonts w:ascii="David" w:hAnsi="David"/>
          <w:color w:val="000000"/>
          <w:rtl w:val="true"/>
          <w:lang w:eastAsia="he-IL"/>
        </w:rPr>
        <w:t>ד נז</w:t>
      </w:r>
      <w:r>
        <w:rPr>
          <w:rFonts w:cs="David" w:ascii="David" w:hAnsi="David"/>
          <w:color w:val="000000"/>
          <w:rtl w:val="true"/>
          <w:lang w:eastAsia="he-IL"/>
        </w:rPr>
        <w:t>(</w:t>
      </w:r>
      <w:r>
        <w:rPr>
          <w:rFonts w:cs="David" w:ascii="David" w:hAnsi="David"/>
          <w:color w:val="000000"/>
          <w:lang w:eastAsia="he-IL"/>
        </w:rPr>
        <w:t>1</w:t>
      </w:r>
      <w:r>
        <w:rPr>
          <w:rFonts w:cs="David" w:ascii="David" w:hAnsi="David"/>
          <w:color w:val="000000"/>
          <w:rtl w:val="true"/>
          <w:lang w:eastAsia="he-IL"/>
        </w:rPr>
        <w:t xml:space="preserve">) </w:t>
      </w:r>
      <w:r>
        <w:rPr>
          <w:rFonts w:cs="David" w:ascii="David" w:hAnsi="David"/>
          <w:color w:val="000000"/>
          <w:lang w:eastAsia="he-IL"/>
        </w:rPr>
        <w:t>577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ascii="David" w:hAnsi="David"/>
          <w:color w:val="000000"/>
          <w:rtl w:val="true"/>
          <w:lang w:eastAsia="he-IL"/>
        </w:rPr>
        <w:t>הנאשם הודה במיוחס לו וחסך זמן שיפוט ותשומות הכרוכות בניהול המשפט עד תום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ascii="David" w:hAnsi="David"/>
          <w:color w:val="000000"/>
          <w:rtl w:val="true"/>
          <w:lang w:eastAsia="he-IL"/>
        </w:rPr>
        <w:t>הנאשם נעדר עבר פלילי וזהו מאסרו הראשון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ascii="David" w:hAnsi="David"/>
          <w:color w:val="000000"/>
          <w:rtl w:val="true"/>
          <w:lang w:eastAsia="he-IL"/>
        </w:rPr>
        <w:t>העונש המוצע כולל מאסר לתקופה משמעותית ויש בו לתרום להרתעת הנאשם והציבור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cs="David" w:ascii="David" w:hAnsi="David"/>
          <w:color w:val="000000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cs="David" w:ascii="David" w:hAnsi="David"/>
          <w:color w:val="000000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cs="David" w:ascii="David" w:hAnsi="David"/>
          <w:color w:val="000000"/>
          <w:lang w:eastAsia="he-IL"/>
        </w:rPr>
        <w:t>6</w:t>
      </w:r>
      <w:r>
        <w:rPr>
          <w:rFonts w:cs="David" w:ascii="David" w:hAnsi="David"/>
          <w:color w:val="000000"/>
          <w:rtl w:val="true"/>
          <w:lang w:eastAsia="he-IL"/>
        </w:rPr>
        <w:t>.</w:t>
        <w:tab/>
      </w:r>
      <w:r>
        <w:rPr>
          <w:rFonts w:ascii="David" w:hAnsi="David"/>
          <w:color w:val="000000"/>
          <w:rtl w:val="true"/>
          <w:lang w:eastAsia="he-IL"/>
        </w:rPr>
        <w:t>נוכח האמור אני דן את הנאשם לעונשים הבאים</w:t>
      </w:r>
      <w:r>
        <w:rPr>
          <w:rFonts w:cs="David" w:ascii="David" w:hAnsi="David"/>
          <w:color w:val="000000"/>
          <w:rtl w:val="true"/>
          <w:lang w:eastAsia="he-IL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cs="David" w:ascii="David" w:hAnsi="David"/>
          <w:color w:val="000000"/>
          <w:rtl w:val="true"/>
          <w:lang w:eastAsia="he-IL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ascii="David" w:hAnsi="David"/>
          <w:color w:val="000000"/>
          <w:rtl w:val="true"/>
          <w:lang w:eastAsia="he-IL"/>
        </w:rPr>
        <w:t>א</w:t>
      </w:r>
      <w:r>
        <w:rPr>
          <w:rFonts w:cs="David" w:ascii="David" w:hAnsi="David"/>
          <w:color w:val="000000"/>
          <w:rtl w:val="true"/>
          <w:lang w:eastAsia="he-IL"/>
        </w:rPr>
        <w:t>.</w:t>
        <w:tab/>
      </w:r>
      <w:r>
        <w:rPr>
          <w:rFonts w:cs="David" w:ascii="David" w:hAnsi="David"/>
          <w:color w:val="000000"/>
          <w:lang w:eastAsia="he-IL"/>
        </w:rPr>
        <w:t>24</w:t>
      </w:r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חודשי מאסר בפועל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מיום מעצרו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  <w:color w:val="FFFFFF"/>
          <w:sz w:val="2"/>
          <w:szCs w:val="2"/>
          <w:lang w:eastAsia="he-IL"/>
        </w:rPr>
        <w:t>5129371</w:t>
      </w:r>
      <w:r>
        <w:rPr>
          <w:rFonts w:ascii="David" w:hAnsi="David"/>
          <w:color w:val="000000"/>
          <w:rtl w:val="true"/>
          <w:lang w:eastAsia="he-IL"/>
        </w:rPr>
        <w:t>ב</w:t>
      </w:r>
      <w:r>
        <w:rPr>
          <w:rFonts w:cs="David" w:ascii="David" w:hAnsi="David"/>
          <w:color w:val="000000"/>
          <w:rtl w:val="true"/>
          <w:lang w:eastAsia="he-IL"/>
        </w:rPr>
        <w:t>.</w:t>
        <w:tab/>
      </w:r>
      <w:r>
        <w:rPr>
          <w:rFonts w:cs="David" w:ascii="David" w:hAnsi="David"/>
          <w:color w:val="000000"/>
          <w:lang w:eastAsia="he-IL"/>
        </w:rPr>
        <w:t>12</w:t>
      </w:r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חודשי מאסר על תנאי למשך שלוש שנים מיום שחרורו מהמאסר שלא יעבור עבירת נשק המסווגת כפשע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David" w:ascii="David" w:hAnsi="David"/>
          <w:color w:val="FFFFFF"/>
          <w:sz w:val="2"/>
          <w:szCs w:val="2"/>
          <w:lang w:eastAsia="he-IL"/>
        </w:rPr>
        <w:t>54678313</w:t>
      </w:r>
      <w:r>
        <w:rPr>
          <w:rFonts w:ascii="David" w:hAnsi="David"/>
          <w:color w:val="000000"/>
          <w:rtl w:val="true"/>
          <w:lang w:eastAsia="he-IL"/>
        </w:rPr>
        <w:t>ג</w:t>
      </w:r>
      <w:r>
        <w:rPr>
          <w:rFonts w:cs="David" w:ascii="David" w:hAnsi="David"/>
          <w:color w:val="000000"/>
          <w:rtl w:val="true"/>
          <w:lang w:eastAsia="he-IL"/>
        </w:rPr>
        <w:t>.</w:t>
        <w:tab/>
      </w:r>
      <w:r>
        <w:rPr>
          <w:rFonts w:ascii="David" w:hAnsi="David"/>
          <w:color w:val="000000"/>
          <w:rtl w:val="true"/>
          <w:lang w:eastAsia="he-IL"/>
        </w:rPr>
        <w:t xml:space="preserve">קנס בסך </w:t>
      </w:r>
      <w:r>
        <w:rPr>
          <w:rFonts w:cs="David" w:ascii="David" w:hAnsi="David"/>
          <w:color w:val="000000"/>
          <w:lang w:eastAsia="he-IL"/>
        </w:rPr>
        <w:t>5,000</w:t>
      </w:r>
      <w:r>
        <w:rPr>
          <w:rFonts w:cs="David" w:ascii="David" w:hAnsi="David"/>
          <w:color w:val="000000"/>
          <w:rtl w:val="true"/>
          <w:lang w:eastAsia="he-IL"/>
        </w:rPr>
        <w:t xml:space="preserve"> ₪ </w:t>
      </w:r>
      <w:r>
        <w:rPr>
          <w:rFonts w:ascii="David" w:hAnsi="David"/>
          <w:color w:val="000000"/>
          <w:rtl w:val="true"/>
          <w:lang w:eastAsia="he-IL"/>
        </w:rPr>
        <w:t xml:space="preserve">או </w:t>
      </w:r>
      <w:r>
        <w:rPr>
          <w:rFonts w:cs="David" w:ascii="David" w:hAnsi="David"/>
          <w:color w:val="000000"/>
          <w:lang w:eastAsia="he-IL"/>
        </w:rPr>
        <w:t>30</w:t>
      </w:r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ימי מאסר תחתיו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הקנס ישולם ב</w:t>
      </w:r>
      <w:r>
        <w:rPr>
          <w:rFonts w:cs="David" w:ascii="David" w:hAnsi="David"/>
          <w:color w:val="000000"/>
          <w:rtl w:val="true"/>
          <w:lang w:eastAsia="he-IL"/>
        </w:rPr>
        <w:t>-</w:t>
      </w:r>
      <w:r>
        <w:rPr>
          <w:rFonts w:cs="David" w:ascii="David" w:hAnsi="David"/>
          <w:color w:val="000000"/>
          <w:lang w:eastAsia="he-IL"/>
        </w:rPr>
        <w:t>5</w:t>
      </w:r>
      <w:r>
        <w:rPr>
          <w:rFonts w:cs="David" w:ascii="David" w:hAnsi="David"/>
          <w:color w:val="000000"/>
          <w:rtl w:val="true"/>
          <w:lang w:eastAsia="he-IL"/>
        </w:rPr>
        <w:t xml:space="preserve">  </w:t>
      </w:r>
      <w:r>
        <w:rPr>
          <w:rFonts w:ascii="David" w:hAnsi="David"/>
          <w:color w:val="000000"/>
          <w:rtl w:val="true"/>
          <w:lang w:eastAsia="he-IL"/>
        </w:rPr>
        <w:t>תשלומים חודשיים שווים ורצופים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 xml:space="preserve">הראשון בהם ביום </w:t>
      </w:r>
      <w:r>
        <w:rPr>
          <w:rFonts w:cs="David" w:ascii="David" w:hAnsi="David"/>
          <w:color w:val="000000"/>
          <w:lang w:eastAsia="he-IL"/>
        </w:rPr>
        <w:t>1.2.20</w:t>
      </w:r>
      <w:r>
        <w:rPr>
          <w:rFonts w:cs="David" w:ascii="David" w:hAnsi="David"/>
          <w:color w:val="000000"/>
          <w:rtl w:val="true"/>
          <w:lang w:eastAsia="he-IL"/>
        </w:rPr>
        <w:t xml:space="preserve"> . </w:t>
      </w:r>
      <w:r>
        <w:rPr>
          <w:rFonts w:ascii="David" w:hAnsi="David"/>
          <w:color w:val="000000"/>
          <w:rtl w:val="true"/>
          <w:lang w:eastAsia="he-IL"/>
        </w:rPr>
        <w:t>תשלום שלא ישולם במועדו יעמיד את כל יתרת הקנס לפרעון מיידי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cs="David" w:ascii="David" w:hAnsi="David"/>
          <w:color w:val="000000"/>
          <w:rtl w:val="true"/>
          <w:lang w:eastAsia="he-IL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ascii="David" w:hAnsi="David"/>
          <w:color w:val="000000"/>
          <w:rtl w:val="true"/>
          <w:lang w:eastAsia="he-IL"/>
        </w:rPr>
        <w:t xml:space="preserve">זכות ערעור תוך </w:t>
      </w:r>
      <w:r>
        <w:rPr>
          <w:rFonts w:cs="David" w:ascii="David" w:hAnsi="David"/>
          <w:color w:val="000000"/>
          <w:lang w:eastAsia="he-IL"/>
        </w:rPr>
        <w:t>45</w:t>
      </w:r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יום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color w:val="000000"/>
          <w:lang w:eastAsia="he-IL"/>
        </w:rPr>
      </w:pPr>
      <w:r>
        <w:rPr>
          <w:rFonts w:cs="David" w:ascii="David" w:hAnsi="David"/>
          <w:color w:val="000000"/>
          <w:rtl w:val="true"/>
          <w:lang w:eastAsia="he-IL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bookmarkStart w:id="9" w:name="Nitan"/>
      <w:r>
        <w:rPr>
          <w:rFonts w:ascii="David" w:hAnsi="David"/>
          <w:rtl w:val="true"/>
        </w:rPr>
        <w:t>ניתן היום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י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 כסלו תש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פ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09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דצמבר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בנוכחות הצדדים</w:t>
      </w:r>
      <w:r>
        <w:rPr>
          <w:rFonts w:cs="David" w:ascii="David" w:hAnsi="David"/>
          <w:rtl w:val="true"/>
        </w:rPr>
        <w:t xml:space="preserve">. </w:t>
      </w:r>
      <w:bookmarkEnd w:id="9"/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ס</w:t>
      </w:r>
      <w:r>
        <w:rPr>
          <w:rFonts w:cs="David" w:ascii="David" w:hAnsi="David"/>
          <w:color w:val="000000"/>
          <w:sz w:val="22"/>
          <w:szCs w:val="22"/>
          <w:rtl w:val="true"/>
        </w:rPr>
        <w:t>.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"/>
      <w:footerReference w:type="default" r:id="rId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54384-09-19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נאוף אבו עסא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sz w:val="2"/>
        <w:szCs w:val="24"/>
        <w:rFonts w:ascii="Times New Roman" w:hAnsi="Times New Roman" w:cs="Times New Roman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Times New Roman" w:hAnsi="Times New Roman" w:cs="Times New Roman"/>
      <w:color w:val="000000"/>
      <w:sz w:val="2"/>
      <w:szCs w:val="24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advertisements/nevo-100.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2019-12-18T08:48:00Z</dcterms:created>
  <dc:creator> </dc:creator>
  <dc:description/>
  <cp:keywords/>
  <dc:language>en-IL</dc:language>
  <cp:lastModifiedBy>h10</cp:lastModifiedBy>
  <dcterms:modified xsi:type="dcterms:W3CDTF">2019-12-18T08:48:00Z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נאוף אבו עסא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ב"ש</vt:lpwstr>
  </property>
  <property fmtid="{D5CDD505-2E9C-101B-9397-08002B2CF9AE}" pid="9" name="DATE">
    <vt:lpwstr>20191209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ס.ה;אליהו ביתן</vt:lpwstr>
  </property>
  <property fmtid="{D5CDD505-2E9C-101B-9397-08002B2CF9AE}" pid="13" name="LAWLISTTMP1">
    <vt:lpwstr>70301/144.b</vt:lpwstr>
  </property>
  <property fmtid="{D5CDD505-2E9C-101B-9397-08002B2CF9AE}" pid="14" name="LAWYER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54384</vt:lpwstr>
  </property>
  <property fmtid="{D5CDD505-2E9C-101B-9397-08002B2CF9AE}" pid="21" name="NEWPARTB">
    <vt:lpwstr>09</vt:lpwstr>
  </property>
  <property fmtid="{D5CDD505-2E9C-101B-9397-08002B2CF9AE}" pid="22" name="NEWPARTC">
    <vt:lpwstr>19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390020191209</vt:lpwstr>
  </property>
  <property fmtid="{D5CDD505-2E9C-101B-9397-08002B2CF9AE}" pid="33" name="TYPE_N_DATE">
    <vt:lpwstr>39020191209</vt:lpwstr>
  </property>
  <property fmtid="{D5CDD505-2E9C-101B-9397-08002B2CF9AE}" pid="34" name="VOLUME">
    <vt:lpwstr/>
  </property>
  <property fmtid="{D5CDD505-2E9C-101B-9397-08002B2CF9AE}" pid="35" name="WORDNUMPAGES">
    <vt:lpwstr>3</vt:lpwstr>
  </property>
</Properties>
</file>