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David" w:hAnsi="David"/>
                <w:b/>
                <w:b/>
                <w:bCs/>
                <w:color w:val="000080"/>
                <w:sz w:val="28"/>
                <w:sz w:val="28"/>
                <w:szCs w:val="28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rFonts w:cs="FrankRuehl"/>
                  <w:color w:val="0000FF"/>
                  <w:sz w:val="28"/>
                  <w:szCs w:val="28"/>
                  <w:u w:val="single"/>
                </w:rPr>
                <w:t>54418-06-19</w:t>
              </w:r>
              <w:r>
                <w:rPr>
                  <w:rStyle w:val="Hyperlink"/>
                  <w:rFonts w:cs="FrankRuehl"/>
                  <w:color w:val="0000FF"/>
                  <w:sz w:val="28"/>
                  <w:szCs w:val="28"/>
                  <w:u w:val="single"/>
                  <w:rtl w:val="true"/>
                </w:rPr>
                <w:t xml:space="preserve"> </w:t>
              </w:r>
            </w:hyperlink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מצארווה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end"/>
        <w:rPr>
          <w:b/>
          <w:bCs/>
        </w:rPr>
      </w:pPr>
      <w:r>
        <w:rPr>
          <w:rFonts w:cs="Times New Roman"/>
          <w:rtl w:val="true"/>
        </w:rPr>
        <w:t xml:space="preserve"> </w:t>
      </w:r>
      <w:r>
        <w:rPr>
          <w:b/>
          <w:bCs/>
        </w:rPr>
        <w:t>7.4.21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7897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לפני </w:t>
            </w:r>
          </w:p>
        </w:tc>
        <w:tc>
          <w:tcPr>
            <w:tcW w:w="7897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אביב שרון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</w:rPr>
      </w:pPr>
      <w:bookmarkStart w:id="1" w:name="FirstAppellant"/>
      <w:r>
        <w:rPr>
          <w:rFonts w:ascii="David" w:hAnsi="David"/>
          <w:b/>
          <w:b/>
          <w:bCs/>
          <w:rtl w:val="true"/>
        </w:rPr>
        <w:t>בעניין</w:t>
      </w:r>
      <w:bookmarkEnd w:id="1"/>
      <w:r>
        <w:rPr>
          <w:rFonts w:cs="David" w:ascii="David" w:hAnsi="David"/>
          <w:b/>
          <w:bCs/>
          <w:rtl w:val="true"/>
        </w:rPr>
        <w:t>:</w:t>
      </w: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ascii="David" w:hAnsi="David"/>
          <w:b/>
          <w:b/>
          <w:bCs/>
          <w:rtl w:val="true"/>
        </w:rPr>
        <w:t>–</w:t>
      </w:r>
      <w:r>
        <w:rPr>
          <w:rFonts w:ascii="David" w:hAnsi="David"/>
          <w:b/>
          <w:b/>
          <w:bCs/>
          <w:rtl w:val="true"/>
        </w:rPr>
        <w:t xml:space="preserve"> פרקליטות מחוז מרכז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פלילי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המאשימה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י </w:t>
      </w:r>
      <w:bookmarkStart w:id="2" w:name="FirstLawyer"/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bookmarkEnd w:id="2"/>
      <w:r>
        <w:rPr>
          <w:rFonts w:ascii="David" w:hAnsi="David"/>
          <w:rtl w:val="true"/>
        </w:rPr>
        <w:t xml:space="preserve"> 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אוריה תוהמי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ab/>
        <w:tab/>
      </w:r>
      <w:r>
        <w:rPr>
          <w:rFonts w:ascii="David" w:hAnsi="David"/>
          <w:b/>
          <w:b/>
          <w:bCs/>
          <w:rtl w:val="true"/>
        </w:rPr>
        <w:t>נ ג ד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ab/>
        <w:tab/>
      </w:r>
      <w:r>
        <w:rPr>
          <w:rFonts w:ascii="David" w:hAnsi="David"/>
          <w:b/>
          <w:b/>
          <w:bCs/>
          <w:rtl w:val="true"/>
        </w:rPr>
        <w:t>סנד מצארווה</w:t>
      </w:r>
      <w:r>
        <w:rPr>
          <w:rFonts w:cs="David" w:ascii="David" w:hAnsi="David"/>
          <w:b/>
          <w:bCs/>
          <w:rtl w:val="true"/>
        </w:rPr>
        <w:tab/>
        <w:tab/>
        <w:tab/>
        <w:tab/>
      </w:r>
      <w:r>
        <w:rPr>
          <w:rFonts w:ascii="David" w:hAnsi="David"/>
          <w:b/>
          <w:b/>
          <w:bCs/>
          <w:rtl w:val="true"/>
        </w:rPr>
        <w:t>הנאשם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עלא תלאווי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BodyText"/>
        <w:spacing w:lineRule="auto" w:line="360"/>
        <w:ind w:end="0"/>
        <w:jc w:val="both"/>
        <w:rPr>
          <w:sz w:val="24"/>
        </w:rPr>
      </w:pPr>
      <w:r>
        <w:rPr>
          <w:sz w:val="24"/>
        </w:rPr>
        <w:t>1</w:t>
      </w:r>
      <w:r>
        <w:rPr>
          <w:sz w:val="24"/>
          <w:rtl w:val="true"/>
        </w:rPr>
        <w:t xml:space="preserve">. </w:t>
      </w:r>
      <w:bookmarkStart w:id="10" w:name="ABSTRACT_START"/>
      <w:bookmarkEnd w:id="10"/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הודאתו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החזקת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נשק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ותחמושת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5">
        <w:r>
          <w:rPr>
            <w:rStyle w:val="Hyperlink"/>
            <w:sz w:val="24"/>
            <w:sz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144</w:t>
        </w:r>
        <w:r>
          <w:rPr>
            <w:rStyle w:val="Hyperlink"/>
            <w:sz w:val="24"/>
            <w:rtl w:val="true"/>
          </w:rPr>
          <w:t>(</w:t>
        </w:r>
        <w:r>
          <w:rPr>
            <w:rStyle w:val="Hyperlink"/>
            <w:sz w:val="24"/>
            <w:sz w:val="24"/>
            <w:rtl w:val="true"/>
          </w:rPr>
          <w:t>א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רישא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וסיפא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6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העונשין</w:t>
        </w:r>
      </w:hyperlink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תשל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ז</w:t>
      </w:r>
      <w:r>
        <w:rPr>
          <w:sz w:val="24"/>
          <w:rtl w:val="true"/>
        </w:rPr>
        <w:t>-</w:t>
      </w:r>
      <w:r>
        <w:rPr>
          <w:sz w:val="24"/>
        </w:rPr>
        <w:t>1977</w:t>
      </w:r>
      <w:r>
        <w:rPr>
          <w:sz w:val="24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 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19.6.19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החזיק הנאשם בביתו שבטייבה אקדח מסוג 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FN</w:t>
      </w:r>
      <w:r>
        <w:rPr>
          <w:rFonts w:ascii="David" w:hAnsi="David"/>
          <w:rtl w:val="true"/>
        </w:rPr>
        <w:t>ובתוכו מחסנית תואמת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חבויים בתוך שקית שקופה אטומה מתחת למגירה התחתונה בארון הימני שבחדרו של הנאשם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השקית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לצד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ניילון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sz w:val="24"/>
        </w:rPr>
      </w:pPr>
      <w:r>
        <w:rPr>
          <w:rFonts w:cs="David" w:ascii="David" w:hAnsi="David"/>
          <w:sz w:val="24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לבקשת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הופנה הנאשם לקבלת תסקיר בעניינו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תסקירי שירות המבחן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u w:val="single"/>
          <w:rtl w:val="true"/>
        </w:rPr>
        <w:t xml:space="preserve">מתסקיר שירות המבחן מיום </w:t>
      </w:r>
      <w:r>
        <w:rPr>
          <w:rFonts w:cs="David" w:ascii="David" w:hAnsi="David"/>
          <w:u w:val="single"/>
        </w:rPr>
        <w:t>2.7.20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 כי הנאשם יליד הארץ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ואב לילד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מתגורר בטייבה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ומצוי בתנאים מגבילים של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מעצר אדם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 xml:space="preserve">בשנת </w:t>
      </w:r>
      <w:r>
        <w:rPr>
          <w:rFonts w:cs="David" w:ascii="David" w:hAnsi="David"/>
        </w:rPr>
        <w:t>2012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 מעורב בתאונה קשה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אושפז בבית חולים שיקומי למשך תקופה ארוכה וכיום סובל מכאבים ברגלו ומוכר כנכה בביטוח הלאומי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סיים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 עם תעודת מקצוע בתחום הנגרות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מזה כשבע שנים עובד עם אחיו בחווה חקלאית השייכת למשפחה וקודם לכן עבד בתחום מכונאות רכב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בעל הרשעה קודמת משנת </w:t>
      </w:r>
      <w:r>
        <w:rPr>
          <w:rFonts w:cs="David" w:ascii="David" w:hAnsi="David"/>
        </w:rPr>
        <w:t>2012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 החזקת מכשירי פריצה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פתוחים נגדו תיקי מב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נוספים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בהתייחסותו לעבירה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מסר כי ימים ספורים טרם ביצועה ראה במצלמות האבטחה הצמודה לביתו אדם המחביא דבר 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שבדק והבין שמדובר בנשק אסף אותו לביתו על מנת למנוע שימוש בנשק ליד ביתו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ביטא חרטה על מעשיו ו</w:t>
      </w:r>
      <w:r>
        <w:rPr>
          <w:rFonts w:ascii="David" w:hAnsi="David"/>
          <w:b/>
          <w:b/>
          <w:bCs/>
          <w:rtl w:val="true"/>
        </w:rPr>
        <w:t>הבנה ראשונית</w:t>
      </w:r>
      <w:r>
        <w:rPr>
          <w:rFonts w:ascii="David" w:hAnsi="David"/>
          <w:rtl w:val="true"/>
        </w:rPr>
        <w:t xml:space="preserve"> לחומרת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השירות התרשם כי קיים יחס מטשטש ומצמצם באשר לחלקו בעבירה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להשלכותיה האפשריות ולקשריו השוליים והמעורבות העבריינית שככל הנראה עומדת בבסיס ביצועה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עד למעצרו הנוכחי השתמש באופן מזדמן בקנביס כמשכך כאבים לפציעה שברגלו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לדבריו כיום אינו משתמש בחומרים פסיכו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אקטיביים ובדיקת שתן שמסר נמצאה נקיה מסמים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בהליך המעצר בעניינו התרשם השירות כי הנאשם גדל בסביבה משפחתי</w:t>
      </w:r>
      <w:r>
        <w:rPr>
          <w:rFonts w:ascii="David" w:hAnsi="David"/>
          <w:rtl w:val="true"/>
        </w:rPr>
        <w:t>ת</w:t>
      </w:r>
      <w:r>
        <w:rPr>
          <w:rFonts w:ascii="David" w:hAnsi="David"/>
          <w:rtl w:val="true"/>
        </w:rPr>
        <w:t xml:space="preserve"> שמעודדת הישגים לימודיים וניכר כי על רקע הישגיו הנמוכים חווה פער מול בני המשפחה שהשפיע על דימויו העצמי וגרם לו לתחושת נחיתות והתחברות שולית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מות האב בשנת </w:t>
      </w:r>
      <w:r>
        <w:rPr>
          <w:rFonts w:cs="David" w:ascii="David" w:hAnsi="David"/>
        </w:rPr>
        <w:t>2011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ותאונת הדרכים שעבר הותירו את הנאשם תלוי בסביבתו הקרובה וזו הובילה לעיסוק מוגבר בדימוי עצמי נמוך וצורך בהוכחת גבריות ומסוגלות בשנים האחרונות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התרשם השירות כי </w:t>
      </w:r>
      <w:r>
        <w:rPr>
          <w:rFonts w:ascii="David" w:hAnsi="David"/>
          <w:b/>
          <w:b/>
          <w:bCs/>
          <w:rtl w:val="true"/>
        </w:rPr>
        <w:t>בעיתוי זה עולים דפוסי חשיבה נוקשים וקושי בולט לבחון את מצבו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בעל יכולות תפקוד יציבות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מבטא שאיפות לנהל אורח חיים תקין וחווה את המעצר כמרתיע עבורו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ביולי </w:t>
      </w:r>
      <w:r>
        <w:rPr>
          <w:rFonts w:cs="David" w:ascii="David" w:hAnsi="David"/>
        </w:rPr>
        <w:t>2019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הוטל על הנאשם צו פיקוח מעצר במסגרתו הוא </w:t>
      </w:r>
      <w:r>
        <w:rPr>
          <w:rFonts w:ascii="David" w:hAnsi="David"/>
          <w:b/>
          <w:b/>
          <w:bCs/>
          <w:rtl w:val="true"/>
        </w:rPr>
        <w:t>שולב בקבוצה טיפולית לעצורי 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הגם שהתמיד והגיע לכל המפגשים ושמר על התנאים המגבילים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</w:t>
      </w:r>
      <w:r>
        <w:rPr>
          <w:rFonts w:ascii="David" w:hAnsi="David"/>
          <w:b/>
          <w:b/>
          <w:bCs/>
          <w:rtl w:val="true"/>
        </w:rPr>
        <w:t>השתתפותו בקבוצה התאפיינה באדישות ובפאסיביות וקושי לקחת חלק פעיל בה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כמו גם קושי בזיהוי מוקדי סיכון והימנעות לבחון דפוסי התנהגות בעייתיים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בנסיבות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הסיכון בעניינו הוערך </w:t>
      </w:r>
      <w:r>
        <w:rPr>
          <w:rFonts w:ascii="David" w:hAnsi="David"/>
          <w:b/>
          <w:b/>
          <w:bCs/>
          <w:rtl w:val="true"/>
        </w:rPr>
        <w:t>כנמוך</w:t>
      </w:r>
      <w:r>
        <w:rPr>
          <w:rFonts w:ascii="David" w:hAnsi="David"/>
          <w:rtl w:val="true"/>
        </w:rPr>
        <w:t xml:space="preserve"> במידת חומרה </w:t>
      </w:r>
      <w:r>
        <w:rPr>
          <w:rFonts w:ascii="David" w:hAnsi="David"/>
          <w:b/>
          <w:b/>
          <w:bCs/>
          <w:rtl w:val="true"/>
        </w:rPr>
        <w:t>נמוכה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התרשמות השירות היא כי </w:t>
      </w:r>
      <w:r>
        <w:rPr>
          <w:rFonts w:ascii="David" w:hAnsi="David"/>
          <w:b/>
          <w:b/>
          <w:bCs/>
          <w:rtl w:val="true"/>
        </w:rPr>
        <w:t>לנאשם דפוסי חשיבה נוקשים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קושי בקבלת אחריות מלאה לנסיבות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הוא אינו מאופיין בדפוסים שוליים ועבריינים מושרשים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נוכח העובדה כי הנאשם שלל כל צורך טיפולי נוסף במצבו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שירות המבחן נמנע מכל המלצה שיקומית בעניינו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 xml:space="preserve">מתסקיר משלים מיום </w:t>
      </w:r>
      <w:r>
        <w:rPr>
          <w:rFonts w:cs="David" w:ascii="David" w:hAnsi="David"/>
          <w:u w:val="single"/>
        </w:rPr>
        <w:t>25.10.20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 כי בתקופת הדחייה התקיימו שתי פגישות עם הנאשם בהן שיתף בדאגות סביב הימשכות ההליך המשפטי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השינויים שערך בחייו כחלק מהרתיעה שיצרו אצלו ההליכים המשפטיים והתמקד במחירים האישיים והרגשיים הנגזרים מביצוע העבירה ועל כך שחווה לחצים כלכליים וקשיים בזוגיות בהיותו תחת תנאים מגבילים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שיתף כי מאז מעצרו צמצם קשריו החברתיים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השקיע בעבודתו ומתכנן להרחיב את העסק המשפחתי עם אחיו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שב והביע צער וחרטה עמוקה בגין מעורבותו בעבירה הנוכחית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ציין כי לא נתן דעתו אז להשלכות מעשיו ופעל מתוך חרדה פנימית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וכיום מפעיל שיקול דעת בבחירותיו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השירות התרשם כי הנאשם מבטא הבנה יותר מעמיקה לחומרת מעשיו וניכר כי נרתע מהתנהגותו הבעייתית והשלכותיה השליליות </w:t>
      </w:r>
      <w:r>
        <w:rPr>
          <w:rFonts w:ascii="David" w:hAnsi="David"/>
          <w:b/>
          <w:b/>
          <w:bCs/>
          <w:rtl w:val="true"/>
        </w:rPr>
        <w:t>אך עדיין קיימת נטייה לטשטש ולצמצם חלקו בביצוע העבירה כמו גם בקשרים השוליים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 להליך טיפולי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הנאשם כי עמדתו הקודמת בדבר שלילת צורך טיפולי נבעה מקשייו להתבטא רגשית בשפה שאינה שפת אם הואיל ודובר עברית באופן חלקי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שילובו בקבוצה הטיפולית במסגרת המעצר הביאה לתחושה של חוסר תרומה והתקשה להבין את הדינמיקה הקבוצתית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הפעם ביטא נכונות להשתלב בקבוצה טיפולית בשפה הערבית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לאור האמור סבר שירות המבחן כי יש מקום להתערבות טיפולית במצבו אשר יהיה בה כדי להקטין סיכון להישנות עבירות בעתיד תוך שיקום מצבו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המליץ להטיל על הנאשם עונש מאסר שירוצה בעבודות שירות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u w:val="single"/>
          <w:rtl w:val="true"/>
        </w:rPr>
        <w:t xml:space="preserve">מתסקיר סופי מיום </w:t>
      </w:r>
      <w:r>
        <w:rPr>
          <w:rFonts w:cs="David" w:ascii="David" w:hAnsi="David"/>
          <w:u w:val="single"/>
        </w:rPr>
        <w:t>14.2.21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עולה כי במהלך תקופת דחיה נוספת </w:t>
      </w:r>
      <w:r>
        <w:rPr>
          <w:rFonts w:ascii="David" w:hAnsi="David"/>
          <w:b/>
          <w:b/>
          <w:bCs/>
          <w:rtl w:val="true"/>
        </w:rPr>
        <w:t>הנאשם השתתף בשלושה מפגשים במסגרת קבוצת הכנה לטיפול שבוחנת מוטיבצי</w:t>
      </w:r>
      <w:r>
        <w:rPr>
          <w:rFonts w:ascii="David" w:hAnsi="David"/>
          <w:b/>
          <w:b/>
          <w:bCs/>
          <w:rtl w:val="true"/>
        </w:rPr>
        <w:t>ה</w:t>
      </w:r>
      <w:r>
        <w:rPr>
          <w:rFonts w:ascii="David" w:hAnsi="David"/>
          <w:b/>
          <w:b/>
          <w:bCs/>
          <w:rtl w:val="true"/>
        </w:rPr>
        <w:t xml:space="preserve"> והתגייסות לטיפול</w:t>
      </w:r>
      <w:r>
        <w:rPr>
          <w:rFonts w:ascii="David" w:hAnsi="David"/>
          <w:rtl w:val="true"/>
        </w:rPr>
        <w:t xml:space="preserve"> תוך דגש על זיהוי מצבי סיכון ורכישת כלים לוויסות דחפים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הטלת סגר כללי במדינה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המשיך הנאשם בטיפול פרטני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כשהנאשם הגיע לכל המפגשים ושיתף פעולה כנדרש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בטיפול הקבוצתי והפרטני עלה בידי הנאשם להעמיק בנסיבות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לגלות פתיחות ויכולת התבוננות עצמית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לפתח מודעות ולבחון גורמי סיכון לצד העלאת תכנים רגשיים ומורכבים מעולמו האישי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התרשמות השירות היא כי הנאשם מגובש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עובד בעבודה יציבה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שאיפות להתקדם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מגלה מחויבות לשיקומו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למד לקח והסיק מסקנות מהתנהגות עוברת 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ההערכה היא כי מדובר בסיכון </w:t>
      </w:r>
      <w:r>
        <w:rPr>
          <w:rFonts w:ascii="David" w:hAnsi="David"/>
          <w:b/>
          <w:b/>
          <w:bCs/>
          <w:rtl w:val="true"/>
        </w:rPr>
        <w:t>נמוך</w:t>
      </w:r>
      <w:r>
        <w:rPr>
          <w:rFonts w:ascii="David" w:hAnsi="David"/>
          <w:rtl w:val="true"/>
        </w:rPr>
        <w:t xml:space="preserve"> להישנות התנהגות אלימה במידה </w:t>
      </w:r>
      <w:r>
        <w:rPr>
          <w:rFonts w:ascii="David" w:hAnsi="David"/>
          <w:b/>
          <w:b/>
          <w:bCs/>
          <w:rtl w:val="true"/>
        </w:rPr>
        <w:t>נמוכה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וההמלצה היא להטלת עונש של מאסר לריצוי בעבודות שירות לצד צו מבחן לשנה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 ב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>כ הצדדים</w:t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, </w:t>
      </w:r>
      <w:r>
        <w:rPr>
          <w:rtl w:val="true"/>
        </w:rPr>
        <w:t>הופכים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יוצרות</w:t>
      </w:r>
      <w:r>
        <w:rPr>
          <w:rtl w:val="true"/>
        </w:rPr>
        <w:t xml:space="preserve">.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,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אוכלוסיה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לזמינות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תע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rtl w:val="true"/>
        </w:rPr>
        <w:t xml:space="preserve">).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באמצע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יצויין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קרשן</w:t>
      </w:r>
      <w:r>
        <w:rPr>
          <w:rtl w:val="true"/>
        </w:rPr>
        <w:t xml:space="preserve">)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tl w:val="true"/>
        </w:rPr>
        <w:t>, "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היסוס</w:t>
      </w:r>
      <w:r>
        <w:rPr>
          <w:rtl w:val="true"/>
        </w:rPr>
        <w:t xml:space="preserve">",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14.7.20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13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3.3.21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בתחתית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רגעית</w:t>
      </w:r>
      <w:r>
        <w:rPr>
          <w:rtl w:val="true"/>
        </w:rPr>
        <w:t xml:space="preserve">, </w:t>
      </w:r>
      <w:r>
        <w:rPr>
          <w:rtl w:val="true"/>
        </w:rPr>
        <w:t>לזמן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מגוונת</w:t>
      </w:r>
      <w:r>
        <w:rPr>
          <w:rtl w:val="true"/>
        </w:rPr>
        <w:t xml:space="preserve">, </w:t>
      </w:r>
      <w:r>
        <w:rPr>
          <w:rtl w:val="true"/>
        </w:rPr>
        <w:t>כשבשורה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נע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rtl w:val="true"/>
        </w:rPr>
        <w:t xml:space="preserve">).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tl w:val="true"/>
        </w:rPr>
        <w:t xml:space="preserve">,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בחקלאות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גבינות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לפטירת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נע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rtl w:val="true"/>
        </w:rPr>
        <w:t xml:space="preserve">).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19.6.19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18.7.19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25.11.19</w:t>
      </w:r>
      <w:r>
        <w:rPr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כשביום</w:t>
      </w:r>
      <w:r>
        <w:rPr>
          <w:rFonts w:cs="Times New Roman"/>
          <w:rtl w:val="true"/>
        </w:rPr>
        <w:t xml:space="preserve"> </w:t>
      </w:r>
      <w:r>
        <w:rPr/>
        <w:t>25.11.19</w:t>
      </w:r>
      <w:r>
        <w:rPr>
          <w:rtl w:val="true"/>
        </w:rPr>
        <w:t xml:space="preserve"> </w:t>
      </w:r>
      <w:r>
        <w:rPr>
          <w:rtl w:val="true"/>
        </w:rPr>
        <w:t>הוסר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 </w:t>
      </w:r>
      <w:r>
        <w:rPr/>
        <w:t>17.3.20</w:t>
      </w:r>
      <w:r>
        <w:rPr>
          <w:rtl w:val="true"/>
        </w:rPr>
        <w:t xml:space="preserve"> </w:t>
      </w:r>
      <w:r>
        <w:rPr>
          <w:rtl w:val="true"/>
        </w:rPr>
        <w:t>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.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tl w:val="true"/>
        </w:rPr>
        <w:t xml:space="preserve">,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מבחינתו</w:t>
      </w:r>
      <w:r>
        <w:rPr>
          <w:rtl w:val="true"/>
        </w:rPr>
        <w:t xml:space="preserve">,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בעבודתו</w:t>
      </w:r>
      <w:r>
        <w:rPr>
          <w:rtl w:val="true"/>
        </w:rPr>
        <w:t xml:space="preserve">, </w:t>
      </w:r>
      <w:r>
        <w:rPr>
          <w:rtl w:val="true"/>
        </w:rPr>
        <w:t>התמיד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מ</w:t>
      </w:r>
      <w:r>
        <w:rPr>
          <w:rtl w:val="true"/>
        </w:rPr>
        <w:t>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מנוגדת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הסגרים</w:t>
      </w:r>
      <w:r>
        <w:rPr>
          <w:rtl w:val="true"/>
        </w:rPr>
        <w:t xml:space="preserve">,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,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כהמלצת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סופי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tl w:val="true"/>
        </w:rPr>
        <w:t xml:space="preserve">,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, </w:t>
      </w:r>
      <w:r>
        <w:rPr>
          <w:rtl w:val="true"/>
        </w:rPr>
        <w:t xml:space="preserve"> </w:t>
      </w:r>
      <w:r>
        <w:rPr>
          <w:rtl w:val="true"/>
        </w:rPr>
        <w:t>ויודע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המוסלמית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בהתאם ל</w:t>
      </w:r>
      <w:r>
        <w:rPr>
          <w:rFonts w:ascii="David" w:hAnsi="David"/>
          <w:rtl w:val="true"/>
        </w:rPr>
        <w:t xml:space="preserve">תיקון </w:t>
      </w:r>
      <w:r>
        <w:rPr>
          <w:rFonts w:cs="David" w:ascii="David" w:hAnsi="David"/>
        </w:rPr>
        <w:t>113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העיקרון המנחה בעת גזירת העונש הוא יחס הולם בין חומרת העבירה בנסיבותי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ומידת אשמו של הנאשם לבין סוג העונש המוטל עליו ומידתו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 לחומרתן של 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הדברים ידועים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רבות נכתב בפסיקה אודות פוטנציאל הנזק הטמון בהגעתו של נשק חם לידיים עברייניות ולאומניות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פוטנציאל שלא אחת מתממש וגובה חייהם של חפים מפשע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נקבע לא אחת</w:t>
      </w:r>
      <w:r>
        <w:rPr>
          <w:rFonts w:ascii="David" w:hAnsi="David"/>
          <w:rtl w:val="true"/>
        </w:rPr>
        <w:t xml:space="preserve"> כי זמינותו של נשק חם ורב עוצמה </w:t>
      </w:r>
      <w:r>
        <w:rPr>
          <w:rFonts w:ascii="David" w:hAnsi="David"/>
          <w:rtl w:val="true"/>
        </w:rPr>
        <w:t xml:space="preserve">היא </w:t>
      </w:r>
      <w:r>
        <w:rPr>
          <w:rFonts w:ascii="David" w:hAnsi="David"/>
          <w:rtl w:val="true"/>
        </w:rPr>
        <w:t>בעל</w:t>
      </w:r>
      <w:r>
        <w:rPr>
          <w:rFonts w:ascii="David" w:hAnsi="David"/>
          <w:rtl w:val="true"/>
        </w:rPr>
        <w:t>ת</w:t>
      </w:r>
      <w:r>
        <w:rPr>
          <w:rFonts w:ascii="David" w:hAnsi="David"/>
          <w:rtl w:val="true"/>
        </w:rPr>
        <w:t xml:space="preserve"> פוטנציאל להסלמה בעבירות אלימות מסוגים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מחייבת ביטוי עונשי הולם והחמרה ברמת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וכי </w:t>
      </w:r>
      <w:r>
        <w:rPr>
          <w:rFonts w:ascii="David" w:hAnsi="David"/>
          <w:rtl w:val="true"/>
        </w:rPr>
        <w:t>עבירות מסוג 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יוצרות סיכון ממשי וחמור לשלום הציבור וביטחונו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3156/11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מיל זראיעה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21.</w:t>
      </w:r>
      <w:r>
        <w:rPr>
          <w:rFonts w:cs="David" w:ascii="David" w:hAnsi="David"/>
        </w:rPr>
        <w:t>2</w:t>
      </w:r>
      <w:r>
        <w:rPr>
          <w:rFonts w:cs="David" w:ascii="David" w:hAnsi="David"/>
        </w:rPr>
        <w:t>.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; 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68389-07-20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עלי 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אלדי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23.</w:t>
      </w:r>
      <w:r>
        <w:rPr>
          <w:rFonts w:cs="David" w:ascii="David" w:hAnsi="David"/>
        </w:rPr>
        <w:t>2</w:t>
      </w:r>
      <w:r>
        <w:rPr>
          <w:rFonts w:cs="David" w:ascii="David" w:hAnsi="David"/>
        </w:rPr>
        <w:t>.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5646/15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סאמח תיהאווי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</w:t>
      </w:r>
      <w:r>
        <w:rPr>
          <w:rFonts w:cs="David" w:ascii="David" w:hAnsi="David"/>
        </w:rPr>
        <w:t>2</w:t>
      </w:r>
      <w:r>
        <w:rPr>
          <w:rFonts w:cs="David" w:ascii="David" w:hAnsi="David"/>
        </w:rPr>
        <w:t>.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התייחס בית המשפט העליון לסכנה הטמונה בעבירה של החזקת נשק שלא כדין </w:t>
      </w:r>
      <w:r>
        <w:rPr>
          <w:rFonts w:ascii="David" w:hAnsi="David"/>
          <w:rtl w:val="true"/>
        </w:rPr>
        <w:t>–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החזקת נשק שלא כדין היא עבירה חמורה המאיימת על שלום הציבור ובטחונו ומגלמת בתוכה פוטנציאל לגרימת נזק קטלני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על כן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היא מחייבת ענישה אשר תרתיע את היחיד והרבים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'</w:t>
      </w:r>
      <w:r>
        <w:rPr>
          <w:rFonts w:ascii="David" w:hAnsi="David"/>
          <w:b/>
          <w:b/>
          <w:bCs/>
          <w:rtl w:val="true"/>
        </w:rPr>
        <w:t>יש ליתן משקל בכל מקרה לסיכון הגלום בכך שנשק בעל פוטנציאל קטילה מוחזק מבלי שיש עליו ועל בעליו פיקוח מוסדר של הרשויות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כאשר המחזיק נתון תמיד לסיכון שיתפתה לעשות שימוש בנשק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ולו ברגעי לחץ ופחד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b/>
          <w:bCs/>
          <w:rtl w:val="true"/>
        </w:rPr>
        <w:t>" (</w:t>
      </w:r>
      <w:hyperlink r:id="rId1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3300/06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סנינה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15.</w:t>
      </w: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</w:rPr>
        <w:t>.</w:t>
      </w:r>
      <w:r>
        <w:rPr>
          <w:rFonts w:cs="David" w:ascii="David" w:hAnsi="David"/>
          <w:b/>
          <w:bCs/>
        </w:rPr>
        <w:t>06</w:t>
      </w:r>
      <w:r>
        <w:rPr>
          <w:rFonts w:cs="David" w:ascii="David" w:hAnsi="David"/>
          <w:b/>
          <w:bCs/>
          <w:rtl w:val="true"/>
        </w:rPr>
        <w:t>))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הערכים החברתיים המוגנים בבסיס עבירות הנשק הם שמירה על </w:t>
      </w:r>
      <w:r>
        <w:rPr>
          <w:rFonts w:ascii="David" w:hAnsi="David"/>
          <w:rtl w:val="true"/>
        </w:rPr>
        <w:t>שלום הציבור ובטחונו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שלמות </w:t>
      </w:r>
      <w:r>
        <w:rPr>
          <w:rFonts w:ascii="David" w:hAnsi="David"/>
          <w:rtl w:val="true"/>
        </w:rPr>
        <w:t>גופו של הפרט</w:t>
      </w:r>
      <w:r>
        <w:rPr>
          <w:rFonts w:ascii="David" w:hAnsi="David"/>
          <w:rtl w:val="true"/>
        </w:rPr>
        <w:t xml:space="preserve"> ו</w:t>
      </w:r>
      <w:r>
        <w:rPr>
          <w:rFonts w:ascii="David" w:hAnsi="David"/>
          <w:rtl w:val="true"/>
        </w:rPr>
        <w:t xml:space="preserve">הגנה על </w:t>
      </w:r>
      <w:r>
        <w:rPr>
          <w:rFonts w:ascii="David" w:hAnsi="David"/>
          <w:rtl w:val="true"/>
        </w:rPr>
        <w:t>סדרי השלטון והמשפט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מידת הפגיעה של הנאשם בערכים מוגנים אלה היא </w:t>
      </w:r>
      <w:r>
        <w:rPr>
          <w:rFonts w:ascii="David" w:hAnsi="David"/>
          <w:b/>
          <w:b/>
          <w:bCs/>
          <w:rtl w:val="true"/>
        </w:rPr>
        <w:t>נמוכה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בינונית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הואיל ומדובר בכלי נשק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מסוג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מחסנית ריקה ותחמושת הכוללת שני כדורים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הוסלקו בביתו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מנסיבות ביצוע העבירה עולה שהנאשם אשר החזיק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אקדח בארון בחדרו לצד מחסנית ריקה ושני כדורי 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פעל לבדו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והגם שאין אינדיקצי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לכך שהנשק נועד לשימוש עברייני או ביטחוני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שפוטנציאל הנזק שעלול להיגרם משימוש בכלי נשק זה גבוה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כזכור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ascii="David" w:hAnsi="David"/>
          <w:b/>
          <w:b/>
          <w:bCs/>
          <w:rtl w:val="true"/>
        </w:rPr>
        <w:t>אבו מוך</w:t>
      </w:r>
      <w:r>
        <w:rPr>
          <w:rFonts w:ascii="David" w:hAnsi="David"/>
          <w:rtl w:val="true"/>
        </w:rPr>
        <w:t xml:space="preserve"> הותיק והידוע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hyperlink r:id="rId12">
        <w:r>
          <w:rPr>
            <w:rStyle w:val="Hyperlink"/>
            <w:rFonts w:cs="David" w:ascii="David" w:hAnsi="David"/>
            <w:color w:val="0000FF"/>
            <w:u w:val="single"/>
          </w:rPr>
          <w:t>625/82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חלמי אבו מוך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16.8.82</w:t>
      </w:r>
      <w:r>
        <w:rPr>
          <w:rFonts w:cs="David" w:ascii="David" w:hAnsi="David"/>
          <w:rtl w:val="true"/>
        </w:rPr>
        <w:t xml:space="preserve">)), </w:t>
      </w:r>
      <w:r>
        <w:rPr>
          <w:rFonts w:ascii="David" w:hAnsi="David"/>
          <w:rtl w:val="true"/>
        </w:rPr>
        <w:t>קבע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השופט בך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מדרג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חומרה לגבי נסיבות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הגם שדובר במדרג הנוגע לשיקולי מעצר ושחרור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כדלקמן </w:t>
      </w:r>
      <w:r>
        <w:rPr>
          <w:rFonts w:ascii="David" w:hAnsi="David"/>
          <w:rtl w:val="true"/>
        </w:rPr>
        <w:t>–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אנסה לסווג את העבירות של החזקת נשק שלא כדין לקטיגוריות הבולטות שביניהן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אם כי ער אני לכך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שלא ניתן לכלול את כל האפשרויות במסגרת סיווג כזה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אלך מהכבד אל הקל מבחינת חומרתן של העבירות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)</w:t>
        <w:tab/>
      </w:r>
      <w:r>
        <w:rPr>
          <w:rFonts w:ascii="David" w:hAnsi="David"/>
          <w:b/>
          <w:b/>
          <w:bCs/>
          <w:rtl w:val="true"/>
        </w:rPr>
        <w:t>החזקת הנשק לשם ביצוע מעשים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המיועדים לפגוע בביטחון המדינה או בביטחון הציבור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)</w:t>
        <w:tab/>
      </w:r>
      <w:r>
        <w:rPr>
          <w:rFonts w:ascii="David" w:hAnsi="David"/>
          <w:b/>
          <w:b/>
          <w:bCs/>
          <w:rtl w:val="true"/>
        </w:rPr>
        <w:t>החזקת הנשק לשם ביצוע עבירה פלילית ספציפית כגון רצח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שוד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התפרצות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תקיפה וכ</w:t>
      </w:r>
      <w:r>
        <w:rPr>
          <w:rFonts w:ascii="David" w:hAnsi="David"/>
          <w:b/>
          <w:b/>
          <w:bCs/>
          <w:rtl w:val="true"/>
        </w:rPr>
        <w:t>ו</w:t>
      </w:r>
      <w:r>
        <w:rPr>
          <w:rFonts w:cs="David" w:ascii="David" w:hAnsi="David"/>
          <w:b/>
          <w:bCs/>
          <w:rtl w:val="true"/>
        </w:rPr>
        <w:t>'.</w:t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)</w:t>
        <w:tab/>
      </w:r>
      <w:r>
        <w:rPr>
          <w:rFonts w:ascii="David" w:hAnsi="David"/>
          <w:b/>
          <w:b/>
          <w:bCs/>
          <w:rtl w:val="true"/>
        </w:rPr>
        <w:t xml:space="preserve">החזקת הנשק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לעת מצוא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כדי לאפשר פעילות פלילית אפשרית בעתיד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autoSpaceDE w:val="false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ד</w:t>
      </w:r>
      <w:r>
        <w:rPr>
          <w:rFonts w:cs="David" w:ascii="David" w:hAnsi="David"/>
          <w:b/>
          <w:bCs/>
          <w:rtl w:val="true"/>
        </w:rPr>
        <w:t>)</w:t>
        <w:tab/>
      </w:r>
      <w:r>
        <w:rPr>
          <w:rFonts w:ascii="David" w:hAnsi="David"/>
          <w:b/>
          <w:b/>
          <w:bCs/>
          <w:rtl w:val="true"/>
        </w:rPr>
        <w:t>צבירת נשק על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ידי קבוצה פוליטית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עדתית או אידיאולוגית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במטרה לחזק בדרך זו את כוחה כנגד קבוצות יריבות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autoSpaceDE w:val="false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ה</w:t>
      </w:r>
      <w:r>
        <w:rPr>
          <w:rFonts w:cs="David" w:ascii="David" w:hAnsi="David"/>
          <w:b/>
          <w:bCs/>
          <w:rtl w:val="true"/>
        </w:rPr>
        <w:t>)</w:t>
        <w:tab/>
      </w:r>
      <w:r>
        <w:rPr>
          <w:rFonts w:ascii="David" w:hAnsi="David"/>
          <w:b/>
          <w:b/>
          <w:bCs/>
          <w:rtl w:val="true"/>
        </w:rPr>
        <w:t>החזקת הנשק לצורך הגנה עצמית או לצורך הגנה על הציבור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המשפחה או ה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חמולה</w:t>
      </w:r>
      <w:r>
        <w:rPr>
          <w:rFonts w:cs="David" w:ascii="David" w:hAnsi="David"/>
          <w:b/>
          <w:bCs/>
          <w:rtl w:val="true"/>
        </w:rPr>
        <w:t xml:space="preserve">", </w:t>
      </w:r>
      <w:r>
        <w:rPr>
          <w:rFonts w:ascii="David" w:hAnsi="David"/>
          <w:b/>
          <w:b/>
          <w:bCs/>
          <w:rtl w:val="true"/>
        </w:rPr>
        <w:t>אליהם הנאשם משתייך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ו</w:t>
      </w:r>
      <w:r>
        <w:rPr>
          <w:rFonts w:cs="David" w:ascii="David" w:hAnsi="David"/>
          <w:b/>
          <w:bCs/>
          <w:rtl w:val="true"/>
        </w:rPr>
        <w:t>)</w:t>
        <w:tab/>
      </w:r>
      <w:r>
        <w:rPr>
          <w:rFonts w:ascii="David" w:hAnsi="David"/>
          <w:b/>
          <w:b/>
          <w:bCs/>
          <w:rtl w:val="true"/>
        </w:rPr>
        <w:t>החזקת כלי הנשק לצורך ספורט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ציד או שעשוע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ז</w:t>
      </w:r>
      <w:r>
        <w:rPr>
          <w:rFonts w:cs="David" w:ascii="David" w:hAnsi="David"/>
          <w:b/>
          <w:bCs/>
          <w:rtl w:val="true"/>
        </w:rPr>
        <w:t>)</w:t>
        <w:tab/>
      </w:r>
      <w:r>
        <w:rPr>
          <w:rFonts w:ascii="David" w:hAnsi="David"/>
          <w:b/>
          <w:b/>
          <w:bCs/>
          <w:rtl w:val="true"/>
        </w:rPr>
        <w:t>החזקת כלי נשק על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ידי הנאשם בתור מזכרת או כאספן של כלים כאלה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>ח</w:t>
      </w:r>
      <w:r>
        <w:rPr>
          <w:rFonts w:cs="David" w:ascii="David" w:hAnsi="David"/>
          <w:b/>
          <w:bCs/>
          <w:rtl w:val="true"/>
        </w:rPr>
        <w:t>)</w:t>
        <w:tab/>
      </w:r>
      <w:r>
        <w:rPr>
          <w:rFonts w:ascii="David" w:hAnsi="David"/>
          <w:b/>
          <w:b/>
          <w:bCs/>
          <w:rtl w:val="true"/>
        </w:rPr>
        <w:t>החזקת כלי הנשק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שפג תוקף רישיונו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והנאשם נמנע מלחדש את הרישיון בעתו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אמנם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לא ניתן לקבוע מסמרות בנדון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אך נראה לי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כי אפשר לקבוע בתור קו מנחה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שהעבירות המבוצעות בנסיבות המנויות בסוגים א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ד לעיל מגיעות בחומרתן לדרגה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שיש בה כדי להצדיק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במקרים המתאימים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מתן צו מעצר עד תום ההליכים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מאידך גיסא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לא הייתי רואה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בדרך כלל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מקום למתן צו כזה במקרים המנויים בסוגים ה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ח דלעיל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בהיעדר נתונים ברורים אודות נסיבות הגעת הנשק לידיו של הנאשם ואודות מטרת ההחזקה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נראה שמדובר בהחזקה בנסיבות 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 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או ה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למדרג אבו מוך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כבר נקבע בפסיקתו של בית המשפט 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אחת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rtl w:val="true"/>
        </w:rPr>
        <w:t xml:space="preserve">מדיניות הענישה הראויה </w:t>
      </w:r>
      <w:r>
        <w:rPr>
          <w:rFonts w:ascii="David" w:hAnsi="David"/>
          <w:rtl w:val="true"/>
        </w:rPr>
        <w:t xml:space="preserve">בעבירת החזקת נשק </w:t>
      </w:r>
      <w:r>
        <w:rPr>
          <w:rFonts w:ascii="David" w:hAnsi="David"/>
          <w:rtl w:val="true"/>
        </w:rPr>
        <w:t>היא של הטלת עונשי מאסר לריצוי בפועל מאחורי סורג 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על מי שזו עבירתו הראשונה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8846/15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איהבאב דראז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13.</w:t>
      </w:r>
      <w:r>
        <w:rPr>
          <w:rFonts w:cs="David" w:ascii="David" w:hAnsi="David"/>
        </w:rPr>
        <w:t>3</w:t>
      </w:r>
      <w:r>
        <w:rPr>
          <w:rFonts w:cs="David" w:ascii="David" w:hAnsi="David"/>
        </w:rPr>
        <w:t>.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); 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2718/04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פואד אבו דאחל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</w:t>
      </w:r>
      <w:r>
        <w:rPr>
          <w:rFonts w:cs="David" w:ascii="David" w:hAnsi="David"/>
        </w:rPr>
        <w:t>3</w:t>
      </w:r>
      <w:r>
        <w:rPr>
          <w:rFonts w:cs="David" w:ascii="David" w:hAnsi="David"/>
        </w:rPr>
        <w:t>.</w:t>
      </w:r>
      <w:r>
        <w:rPr>
          <w:rFonts w:cs="David" w:ascii="David" w:hAnsi="David"/>
        </w:rPr>
        <w:t>04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; 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1505/14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אחמד לידאוי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4</w:t>
      </w:r>
      <w:r>
        <w:rPr>
          <w:rFonts w:cs="David" w:ascii="David" w:hAnsi="David"/>
        </w:rPr>
        <w:t>.11.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אף בשים לב גם לפסיקה מקילה יותר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3288/14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קריספיל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24.8.14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נאשם הורשע על פי הודאתו בעבירות של החזקת נשק והחזקת נכס החשוד כגנוב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</w:t>
      </w:r>
      <w:r>
        <w:rPr>
          <w:rFonts w:ascii="David" w:hAnsi="David"/>
          <w:rtl w:val="true"/>
        </w:rPr>
        <w:t xml:space="preserve">החזיק אקדח טעון במחסנית ובה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ומשתיק קול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</w:t>
      </w:r>
      <w:r>
        <w:rPr>
          <w:rFonts w:ascii="David" w:hAnsi="David"/>
          <w:b/>
          <w:b/>
          <w:bCs/>
          <w:rtl w:val="true"/>
        </w:rPr>
        <w:t xml:space="preserve">מתחם עונש הנע בין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22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וגזר על הנאשם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העליון </w:t>
      </w:r>
      <w:r>
        <w:rPr>
          <w:rFonts w:ascii="David" w:hAnsi="David"/>
          <w:b/>
          <w:b/>
          <w:bCs/>
          <w:rtl w:val="true"/>
        </w:rPr>
        <w:t>החמיר בעונש</w:t>
      </w:r>
      <w:r>
        <w:rPr>
          <w:rFonts w:ascii="David" w:hAnsi="David"/>
          <w:b/>
          <w:b/>
          <w:bCs/>
          <w:rtl w:val="true"/>
        </w:rPr>
        <w:t>ו</w:t>
      </w:r>
      <w:r>
        <w:rPr>
          <w:rFonts w:ascii="David" w:hAnsi="David"/>
          <w:b/>
          <w:b/>
          <w:bCs/>
          <w:rtl w:val="true"/>
        </w:rPr>
        <w:t xml:space="preserve"> והעמידו על 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5646/15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סמאח </w:t>
      </w:r>
      <w:r>
        <w:rPr>
          <w:rFonts w:ascii="David" w:hAnsi="David"/>
          <w:b/>
          <w:b/>
          <w:bCs/>
          <w:rtl w:val="true"/>
        </w:rPr>
        <w:t>תיהאווי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14.2.16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נאשם הורשע על פי הודאתו בהחזקת נשק בצוותא</w:t>
      </w:r>
      <w:r>
        <w:rPr>
          <w:rFonts w:ascii="David" w:hAnsi="David"/>
          <w:rtl w:val="true"/>
        </w:rPr>
        <w:t xml:space="preserve"> לאחר ש</w:t>
      </w:r>
      <w:r>
        <w:rPr>
          <w:rFonts w:ascii="David" w:hAnsi="David"/>
          <w:rtl w:val="true"/>
        </w:rPr>
        <w:t>החזיק באקדח טעון במחסנית מוסלק מתחת לשטיח ברכב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מדובר בבחור </w:t>
      </w:r>
      <w:r>
        <w:rPr>
          <w:rFonts w:ascii="David" w:hAnsi="David"/>
          <w:rtl w:val="true"/>
        </w:rPr>
        <w:t>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עבר פלילי קל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ניהל אורח חיים נורמטיבי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</w:t>
      </w:r>
      <w:r>
        <w:rPr>
          <w:rFonts w:ascii="David" w:hAnsi="David"/>
          <w:b/>
          <w:b/>
          <w:bCs/>
          <w:rtl w:val="true"/>
        </w:rPr>
        <w:t xml:space="preserve">מתחם </w:t>
      </w:r>
      <w:r>
        <w:rPr>
          <w:rFonts w:ascii="David" w:hAnsi="David"/>
          <w:b/>
          <w:b/>
          <w:bCs/>
          <w:rtl w:val="true"/>
        </w:rPr>
        <w:t>הנע</w:t>
      </w:r>
      <w:r>
        <w:rPr>
          <w:rFonts w:ascii="David" w:hAnsi="David"/>
          <w:b/>
          <w:b/>
          <w:bCs/>
          <w:rtl w:val="true"/>
        </w:rPr>
        <w:t xml:space="preserve"> בין 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</w:t>
      </w:r>
      <w:r>
        <w:rPr>
          <w:rFonts w:ascii="David" w:hAnsi="David"/>
          <w:rtl w:val="true"/>
        </w:rPr>
        <w:t xml:space="preserve"> וגזר עליו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דחה את הערעור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2398/14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אלהזייל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8.7.14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על פי הודאתו בהחזקת נשק ותחמושת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החזיק ברכבו אקדח ובו מחסנית עם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וקופסה ובה </w:t>
      </w:r>
      <w:r>
        <w:rPr>
          <w:rFonts w:cs="David" w:ascii="David" w:hAnsi="David"/>
        </w:rPr>
        <w:t>38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נוספים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</w:t>
      </w:r>
      <w:r>
        <w:rPr>
          <w:rFonts w:ascii="David" w:hAnsi="David"/>
          <w:rtl w:val="true"/>
        </w:rPr>
        <w:t>נאשם בעל עבר פלילי שאינו מכביד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</w:t>
      </w:r>
      <w:r>
        <w:rPr>
          <w:rFonts w:ascii="David" w:hAnsi="David"/>
          <w:b/>
          <w:b/>
          <w:bCs/>
          <w:rtl w:val="true"/>
        </w:rPr>
        <w:t xml:space="preserve">מתחם עונש הנע בין 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ו</w:t>
      </w:r>
      <w:r>
        <w:rPr>
          <w:rFonts w:ascii="David" w:hAnsi="David"/>
          <w:rtl w:val="true"/>
        </w:rPr>
        <w:t>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עליו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בית המשפט העליון </w:t>
      </w:r>
      <w:r>
        <w:rPr>
          <w:rFonts w:ascii="David" w:hAnsi="David"/>
          <w:rtl w:val="true"/>
        </w:rPr>
        <w:t>דחה את ערעורו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1246/17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מטר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12.3.17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נאשם הורשע על פי הודאתו בהחזקת נשק ותחמושת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רכש אקדח ושתי מחסניות וכדורים והחזיקם בביתו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ללא עבר פלילי והוגש תסקיר חיובי בעניינו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משפט השלום גזר על</w:t>
      </w:r>
      <w:r>
        <w:rPr>
          <w:rFonts w:ascii="David" w:hAnsi="David"/>
          <w:rtl w:val="true"/>
        </w:rPr>
        <w:t>יו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</w:t>
      </w:r>
      <w:r>
        <w:rPr>
          <w:rFonts w:ascii="David" w:hAnsi="David"/>
          <w:rtl w:val="true"/>
        </w:rPr>
        <w:t>מאסר ב</w:t>
      </w:r>
      <w:r>
        <w:rPr>
          <w:rFonts w:ascii="David" w:hAnsi="David"/>
          <w:rtl w:val="true"/>
        </w:rPr>
        <w:t>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כי </w:t>
      </w:r>
      <w:r>
        <w:rPr>
          <w:rFonts w:ascii="David" w:hAnsi="David"/>
          <w:b/>
          <w:b/>
          <w:bCs/>
          <w:rtl w:val="true"/>
        </w:rPr>
        <w:t xml:space="preserve">הרף התחתון של המתחם צריך לעמוד על 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והחמיר בעונשו 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העליון </w:t>
      </w:r>
      <w:r>
        <w:rPr>
          <w:rFonts w:ascii="David" w:hAnsi="David"/>
          <w:rtl w:val="true"/>
        </w:rPr>
        <w:t>דחה בקשת רשות ערעור שהגיש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4559/16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נוסיראת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22.6.16</w:t>
      </w:r>
      <w:r>
        <w:rPr>
          <w:rFonts w:cs="David" w:ascii="David" w:hAnsi="David"/>
          <w:rtl w:val="true"/>
        </w:rPr>
        <w:t>) 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נאשם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החזקת נשק ותחמושת</w:t>
      </w:r>
      <w:r>
        <w:rPr>
          <w:rFonts w:ascii="David" w:hAnsi="David"/>
          <w:rtl w:val="true"/>
        </w:rPr>
        <w:t xml:space="preserve"> לאחר </w:t>
      </w:r>
      <w:r>
        <w:rPr>
          <w:rFonts w:ascii="David" w:hAnsi="David"/>
          <w:rtl w:val="true"/>
        </w:rPr>
        <w:t>שבביתו נמצאו רובה מסוג קר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</w:t>
      </w:r>
      <w:r>
        <w:rPr>
          <w:rFonts w:ascii="David" w:hAnsi="David"/>
          <w:rtl w:val="true"/>
        </w:rPr>
        <w:t>וסטב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מחסנית תואמת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ללא עבר פלילי והוגש בעניינו תסקיר חיובי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משפט השלום גזר על</w:t>
      </w:r>
      <w:r>
        <w:rPr>
          <w:rFonts w:ascii="David" w:hAnsi="David"/>
          <w:rtl w:val="true"/>
        </w:rPr>
        <w:t>יו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</w:t>
      </w:r>
      <w:r>
        <w:rPr>
          <w:rFonts w:ascii="David" w:hAnsi="David"/>
          <w:rtl w:val="true"/>
        </w:rPr>
        <w:t>מאסר ב</w:t>
      </w:r>
      <w:r>
        <w:rPr>
          <w:rFonts w:ascii="David" w:hAnsi="David"/>
          <w:rtl w:val="true"/>
        </w:rPr>
        <w:t>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שחרג לקולא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ממתחם </w:t>
      </w:r>
      <w:r>
        <w:rPr>
          <w:rFonts w:ascii="David" w:hAnsi="David"/>
          <w:b/>
          <w:b/>
          <w:bCs/>
          <w:rtl w:val="true"/>
        </w:rPr>
        <w:t>הנע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בין 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</w:t>
      </w:r>
      <w:r>
        <w:rPr>
          <w:rFonts w:ascii="David" w:hAnsi="David"/>
          <w:b/>
          <w:b/>
          <w:bCs/>
          <w:rtl w:val="true"/>
        </w:rPr>
        <w:t>החמיר</w:t>
      </w:r>
      <w:r>
        <w:rPr>
          <w:rFonts w:ascii="David" w:hAnsi="David"/>
          <w:b/>
          <w:b/>
          <w:bCs/>
          <w:rtl w:val="true"/>
        </w:rPr>
        <w:t xml:space="preserve"> עונשו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בקשת רשות ערעור שהגיש לבית המשפט העליון נדחתה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2826/19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מרעאנה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11.7.19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נאשם הורשע על פי הודאתו בעבירה של החזקת נשק</w:t>
      </w:r>
      <w:r>
        <w:rPr>
          <w:rFonts w:ascii="David" w:hAnsi="David"/>
          <w:rtl w:val="true"/>
        </w:rPr>
        <w:t xml:space="preserve"> לאחר שלקח</w:t>
      </w:r>
      <w:r>
        <w:rPr>
          <w:rFonts w:ascii="David" w:hAnsi="David"/>
          <w:rtl w:val="true"/>
        </w:rPr>
        <w:t xml:space="preserve"> אקדח ומחסנית </w:t>
      </w:r>
      <w:r>
        <w:rPr>
          <w:rFonts w:ascii="David" w:hAnsi="David"/>
          <w:rtl w:val="true"/>
        </w:rPr>
        <w:t>מגיסו ו</w:t>
      </w:r>
      <w:r>
        <w:rPr>
          <w:rFonts w:ascii="David" w:hAnsi="David"/>
          <w:rtl w:val="true"/>
        </w:rPr>
        <w:t>החביאם בבית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</w:t>
      </w:r>
      <w:r>
        <w:rPr>
          <w:rFonts w:ascii="David" w:hAnsi="David"/>
          <w:b/>
          <w:b/>
          <w:bCs/>
          <w:rtl w:val="true"/>
        </w:rPr>
        <w:t xml:space="preserve">מתחם עונש הנע בין 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לבין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ascii="David" w:hAnsi="David"/>
          <w:rtl w:val="true"/>
        </w:rPr>
        <w:t xml:space="preserve"> ו</w:t>
      </w:r>
      <w:r>
        <w:rPr>
          <w:rFonts w:ascii="David" w:hAnsi="David"/>
          <w:rtl w:val="true"/>
        </w:rPr>
        <w:t>גזר</w:t>
      </w:r>
      <w:r>
        <w:rPr>
          <w:rFonts w:ascii="David" w:hAnsi="David"/>
          <w:rtl w:val="true"/>
        </w:rPr>
        <w:t xml:space="preserve"> על הנאשם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העליון </w:t>
      </w:r>
      <w:r>
        <w:rPr>
          <w:rFonts w:ascii="David" w:hAnsi="David"/>
          <w:rtl w:val="true"/>
        </w:rPr>
        <w:t>הקל בעונשו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שירוצו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tl w:val="true"/>
        </w:rPr>
        <w:t>"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>...</w:t>
      </w:r>
      <w:r>
        <w:rPr>
          <w:rtl w:val="true"/>
        </w:rPr>
        <w:t xml:space="preserve">, </w:t>
      </w:r>
      <w:r>
        <w:rPr>
          <w:rtl w:val="true"/>
        </w:rPr>
        <w:t>(</w:t>
      </w:r>
      <w:r>
        <w:rPr>
          <w:rtl w:val="true"/>
        </w:rPr>
        <w:t>ו</w:t>
      </w:r>
      <w:r>
        <w:rPr>
          <w:rtl w:val="true"/>
        </w:rPr>
        <w:t>)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2281/15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חדיג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27.4.15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הורשע לאחר שמיעת ראיות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החזקת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בחיפוש בחצר</w:t>
      </w:r>
      <w:r>
        <w:rPr>
          <w:rFonts w:ascii="David" w:hAnsi="David"/>
          <w:rtl w:val="true"/>
        </w:rPr>
        <w:t xml:space="preserve"> ביתו </w:t>
      </w:r>
      <w:r>
        <w:rPr>
          <w:rFonts w:ascii="David" w:hAnsi="David"/>
          <w:rtl w:val="true"/>
        </w:rPr>
        <w:t>של הנאשם נתפס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שתי מחסניות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העטופים בשקית ומוטמנים באדמה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בסלון הבית נמצא גם סמן לייזר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גזר על הנאשם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</w:t>
      </w:r>
      <w:r>
        <w:rPr>
          <w:rFonts w:ascii="David" w:hAnsi="David"/>
          <w:b/>
          <w:b/>
          <w:bCs/>
          <w:rtl w:val="true"/>
        </w:rPr>
        <w:t>החמיר בעונשו</w:t>
      </w:r>
      <w:r>
        <w:rPr>
          <w:rFonts w:ascii="David" w:hAnsi="David"/>
          <w:b/>
          <w:b/>
          <w:bCs/>
          <w:rtl w:val="true"/>
        </w:rPr>
        <w:t xml:space="preserve"> 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בקשת רשות ערעור נדחתה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6294/10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אלקיעאן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13.2.11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 נאשמים</w:t>
      </w:r>
      <w:r>
        <w:rPr>
          <w:rFonts w:ascii="David" w:hAnsi="David"/>
          <w:rtl w:val="true"/>
        </w:rPr>
        <w:t xml:space="preserve"> הורשעו על פי הודאתם בביצוע עבירה של החזקת נשק ותחמושת </w:t>
      </w:r>
      <w:r>
        <w:rPr>
          <w:rFonts w:ascii="David" w:hAnsi="David"/>
          <w:rtl w:val="true"/>
        </w:rPr>
        <w:t>לאחר ש</w:t>
      </w:r>
      <w:r>
        <w:rPr>
          <w:rFonts w:ascii="David" w:hAnsi="David"/>
          <w:rtl w:val="true"/>
        </w:rPr>
        <w:t>נתפסו כאשר כל אחד מהם החזיק באקדח טעון ומחסנית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החזיק בכיס מעילו מחסנית נוספת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כל אחד מהנאשמים </w:t>
      </w:r>
      <w:r>
        <w:rPr>
          <w:rFonts w:ascii="David" w:hAnsi="David"/>
          <w:b/>
          <w:b/>
          <w:bCs/>
          <w:rtl w:val="true"/>
        </w:rPr>
        <w:t>נדון 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ערעורם נדחה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8730/18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אברה מרשה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24.1.19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הורשע על פי הודאתו בעבירה של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שהחזיק בארון ביתו אקדח ובתוכו מחסנית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גזר עליו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ערעור המדינה על קולת העונש התקבל ובית המשפט המחוזי קבע כי הרף התחתון של מתחם העונש ההולם יעמוד על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נקבע כי מדובר בעבירות המהוות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מדינה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וכן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אזור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לבסוף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החמיר בית המשפט המחוזי בעונשו של הנאשם והעמידו על </w:t>
      </w: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בבקשת רשות ערעור שהוגשה לבית המשפט העליון נטען שיש לסטות ממתחם העונש ההולם מטעמי שיקום וכן שיש לדחות את מועד מתן גזר הדין עד שייכנס לתוקפו התיקון ל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המאפשר הטלת עונש מאסר למשך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העליון קבע כי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בית המשפט המחוזי קבע כי ש להחמיר בעונשו של המבקש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והטיל על המבקש עונש מאסר מאחורי סורג ובריח על אף שהיה ער לתיקון ל</w:t>
      </w:r>
      <w:hyperlink r:id="rId2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בקביעה זו של בית המשפט מצויה אמירה ערכית נכונה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שדינו של מי ששלח ידו בהחזקת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למאסר ממש ולא כזה שירוצה על דרך של עבודות שירות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נוכח הערכים החברתיים המוגנים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ובשים לב לפסיקה המקלה והמחמירה שהגישו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אני קובע כי </w:t>
      </w:r>
      <w:r>
        <w:rPr>
          <w:rFonts w:ascii="David" w:hAnsi="David"/>
          <w:b/>
          <w:b/>
          <w:bCs/>
          <w:rtl w:val="true"/>
        </w:rPr>
        <w:t xml:space="preserve">מתחם העונש ההולם נע בין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לצד ענישה נלווית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נסיבות שאינן קשורות בביצוע העבירה </w:t>
      </w:r>
      <w:r>
        <w:rPr>
          <w:rFonts w:ascii="David" w:hAnsi="David"/>
          <w:b/>
          <w:b/>
          <w:bCs/>
          <w:u w:val="single"/>
          <w:rtl w:val="true"/>
        </w:rPr>
        <w:t>–</w:t>
      </w:r>
      <w:r>
        <w:rPr>
          <w:rFonts w:ascii="David" w:hAnsi="David"/>
          <w:b/>
          <w:b/>
          <w:bCs/>
          <w:u w:val="single"/>
          <w:rtl w:val="true"/>
        </w:rPr>
        <w:t xml:space="preserve"> חריגה מטעמי שיקום</w:t>
      </w:r>
      <w:r>
        <w:rPr>
          <w:rFonts w:cs="David" w:ascii="David" w:hAnsi="David"/>
          <w:b/>
          <w:bCs/>
          <w:rtl w:val="true"/>
        </w:rPr>
        <w:t>?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בנאשם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כבן </w:t>
      </w: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ואב לילד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המצפה ביחד עם אשתו בימים אלה לילד 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בעברו הרשעה אחת בעבירה של החזקת מכשירי פריצה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בחלוף כשנתיים מאז ביצוע העבירה לא שב הנאשם להסתבך 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נפתחו נגדו תיקים נוספים ולא היו בעניינו הפרות של תנאי השחרור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שהה במעצר באיזוק אלקטרוני ובהמשך במעצר בית מלא תקופה ארוכה של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מהתסקירים עולה שהנאשם מפרנס יחיד של 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שומר על יציבות תעסוקתית ומזה כשבע שנים עובד עם אחיו בחווה חקלאית השייכת למשפחה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זאת חרף העובדה כי לפני כעשור עבר תאונת דרכים קשה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בעטיה עבר הליך שיקומי ארוך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וזו הותירה אותו עם נכות וכאבים ברגלו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נע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הודה בהזדמנות הראשונה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הביע חרטה וצער וגילה הבנה לחומרת מעשהו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הגם שבתסקירים התרשם שירות המבחן מהתייחסות מטשטשת ומצמצמת מצדו לחלקו בעבירה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להשלכותיה האפשריות ולקשריו השוליים והמעורבות העבריינית שככל הנראה עומדת בבסיס ביצועה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ניתן להתעלם מעובדה שהנאשם התגייס להליך טיפולי ממושך במסגרת שירות המבחן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הגם שבתחילה עלו מצדו דפוסי חשיבה נוקשים וקושי בולט לבחון את מצבו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גם שלילת נזקקות טיפולית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ושילובו בטיפול קבוצתי לעצורי בית בה לקח חלק במסגרת הליך המעצר התאפיין בחוסר שיתוף פעולה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שבהמשך ניכר כי חל שינוי בגישתו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שולב ב</w:t>
      </w:r>
      <w:r>
        <w:rPr>
          <w:rFonts w:ascii="David" w:hAnsi="David"/>
          <w:rtl w:val="true"/>
        </w:rPr>
        <w:t>קבוצת הכנה לטיפול שבוחנת מוטיבציה והתגייסות לטיפול תוך דגש על זיהוי מצבי סיכון ורכישת כלים לוויסות דחפים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שיחות פרטניות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 מבטא הבנה יותר מעמיקה לחומרת מעשיו ורתיעה מהתנהגותו הבעייתית והשלכותיה השליליות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העמיק בנסיבות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גילה פתיחות ויכולת התבוננות עצמית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ופיתח מודעות ויכולת לבחון גורמי סיכון לצד העלאת תכנים רגשיים ומורכבים מעולמו האישי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הסיכון בעניינו הוערך </w:t>
      </w:r>
      <w:r>
        <w:rPr>
          <w:rFonts w:ascii="David" w:hAnsi="David"/>
          <w:b/>
          <w:b/>
          <w:bCs/>
          <w:rtl w:val="true"/>
        </w:rPr>
        <w:t>כנמוך</w:t>
      </w:r>
      <w:r>
        <w:rPr>
          <w:rFonts w:ascii="David" w:hAnsi="David"/>
          <w:rtl w:val="true"/>
        </w:rPr>
        <w:t xml:space="preserve"> במידת חומרה </w:t>
      </w:r>
      <w:r>
        <w:rPr>
          <w:rFonts w:ascii="David" w:hAnsi="David"/>
          <w:b/>
          <w:b/>
          <w:bCs/>
          <w:rtl w:val="true"/>
        </w:rPr>
        <w:t>נמוכה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אמנם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השירות העריך כי הנאשם אינו מאופיין בדפוסים שוליים ועבריינים מושרשים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והתרשם כי הנאשם בעל שאיפות להתקדם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מגלה מחויבות לשיקומו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למד לקח והסיק מסקנות מהתנהגות עוברת 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ניכר כי הנאשם נמצא עדיין בראשית הדרך בלבד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בנסיבות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אני סבור כי הגם שההליך השיקומי שעובר הנאשם והתגייסותו לערוך שינוי בחייו אינם מצדיקים </w:t>
      </w:r>
      <w:r>
        <w:rPr>
          <w:rFonts w:ascii="David" w:hAnsi="David"/>
          <w:b/>
          <w:b/>
          <w:bCs/>
          <w:rtl w:val="true"/>
        </w:rPr>
        <w:t>חריגה ניכרת</w:t>
      </w:r>
      <w:r>
        <w:rPr>
          <w:rFonts w:ascii="David" w:hAnsi="David"/>
          <w:rtl w:val="true"/>
        </w:rPr>
        <w:t xml:space="preserve"> ממתחם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כהמלצת שירות המבחן להטלת מאסר לריצוי בדרך של 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ששיקולים אלה מטים את הכף ל</w:t>
      </w:r>
      <w:r>
        <w:rPr>
          <w:rFonts w:ascii="David" w:hAnsi="David"/>
          <w:b/>
          <w:b/>
          <w:bCs/>
          <w:rtl w:val="true"/>
        </w:rPr>
        <w:t>חריגה מסוימת</w:t>
      </w:r>
      <w:r>
        <w:rPr>
          <w:rFonts w:ascii="David" w:hAnsi="David"/>
          <w:rtl w:val="true"/>
        </w:rPr>
        <w:t xml:space="preserve"> ממתחם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כזו שעדיין יהיה על הנאשם לרצות עונש מאסר מאחורי סורג 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שכן כידוע שיקולי שיקום אינם חזות הכל ויש בהקלה ניכרת כדי לפגוע בשיקולי ענישה אחרים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ראה והשווה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לאחרונה</w:t>
      </w:r>
      <w:r>
        <w:rPr>
          <w:rFonts w:cs="David" w:ascii="David" w:hAnsi="David"/>
          <w:rtl w:val="true"/>
        </w:rPr>
        <w:t xml:space="preserve">, 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667/21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מנשה בן פורת ואח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10.3.21</w:t>
      </w:r>
      <w:r>
        <w:rPr>
          <w:rFonts w:cs="David" w:ascii="David" w:hAnsi="David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נלקחו בחשבון עברו הפלילי הקל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אורח חיים נורמטיבי שניהל עד עתה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גם העובדה כי פרנסת אשתו ובנו הפעוט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ובקרוב בן 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תלויה בו כמפרנס יחיד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והעובדה שמאסר ממושך עלול לפגוע במשפחתו פגיעה כלכלית קשה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נלקחה בחשבון תקופת מעצרו ותקופה ארוכה במסגרתה שהה בתנאים מגבילים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גוזר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בניכוי ימי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18.7.19-19.6.19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הנאשם יתייצב לריצוי עונשו בבית סוהר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הדרים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1.6.21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10:00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כשבידו תעודת זהות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התנאים המגבילים והערבויות הכספיות שהוטלו על הנאשם במסגרת הליך המעצר ימשיכו לחול עד להתייצבותו למאסר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אני מוציא נגד הנאשם צו עיכוב יציאה מן הארץ אשר יחול עד להתייצבות הנאשם למאסר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 למשך שלוש שנים מיום שחרורו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יעבור כל עבירת 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קנס בסך </w:t>
      </w:r>
      <w:r>
        <w:rPr>
          <w:rFonts w:cs="David" w:ascii="David" w:hAnsi="David"/>
        </w:rPr>
        <w:t>3,000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הקנס ישולם עד ולא יאוחר מיום </w:t>
      </w:r>
      <w:r>
        <w:rPr>
          <w:rFonts w:cs="David" w:ascii="David" w:hAnsi="David"/>
        </w:rPr>
        <w:t>7.9.21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ascii="David" w:hAnsi="David"/>
          <w:rtl w:val="true"/>
        </w:rPr>
        <w:t xml:space="preserve">המוצגים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נשק ותחמושת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יושמדו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זכות ערעור לבית המשפט המחוזי מרכז תוך </w:t>
      </w:r>
      <w:r>
        <w:rPr>
          <w:rFonts w:cs="David" w:ascii="David" w:hAnsi="David"/>
          <w:b/>
          <w:bCs/>
        </w:rPr>
        <w:t>45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ימים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bookmarkStart w:id="13" w:name="Nitan"/>
      <w:r>
        <w:rPr>
          <w:rFonts w:ascii="David" w:hAnsi="David"/>
          <w:b/>
          <w:b/>
          <w:bCs/>
          <w:rtl w:val="true"/>
        </w:rPr>
        <w:t>ניתן היום</w:t>
      </w:r>
      <w:r>
        <w:rPr>
          <w:rFonts w:cs="David" w:ascii="David" w:hAnsi="David"/>
          <w:b/>
          <w:bCs/>
          <w:rtl w:val="true"/>
        </w:rPr>
        <w:t xml:space="preserve">,  </w:t>
      </w:r>
      <w:r>
        <w:rPr>
          <w:rFonts w:ascii="David" w:hAnsi="David"/>
          <w:b/>
          <w:b/>
          <w:bCs/>
          <w:rtl w:val="true"/>
        </w:rPr>
        <w:t>כ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 ניסן תשפ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07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אפריל </w:t>
      </w:r>
      <w:r>
        <w:rPr>
          <w:rFonts w:cs="David" w:ascii="David" w:hAnsi="David"/>
          <w:b/>
          <w:bCs/>
        </w:rPr>
        <w:t>2021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בנוכחות 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 המאשימה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הנאשם ובא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כוחו</w:t>
      </w:r>
      <w:r>
        <w:rPr>
          <w:rFonts w:cs="David" w:ascii="David" w:hAnsi="David"/>
          <w:b/>
          <w:bCs/>
          <w:rtl w:val="true"/>
        </w:rPr>
        <w:t xml:space="preserve">. </w:t>
      </w:r>
      <w:bookmarkEnd w:id="13"/>
    </w:p>
    <w:p>
      <w:pPr>
        <w:pStyle w:val="Normal"/>
        <w:spacing w:lineRule="auto" w:line="360"/>
        <w:ind w:end="0"/>
        <w:jc w:val="center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  </w:t>
      </w:r>
      <w:r>
        <w:rPr>
          <w:rFonts w:cs="David" w:ascii="David" w:hAnsi="David"/>
          <w:rtl w:val="true"/>
        </w:rPr>
        <w:tab/>
        <w:tab/>
        <w:tab/>
        <w:tab/>
        <w:tab/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אביב שרון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9"/>
      <w:footerReference w:type="default" r:id="rId3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54418-06-19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סנד מצארווה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BodyTextChar">
    <w:name w:val="Body Text Char"/>
    <w:qFormat/>
    <w:rPr>
      <w:rFonts w:ascii="Times New Roman" w:hAnsi="Times New Roman" w:eastAsia="Times New Roman" w:cs="David"/>
      <w:sz w:val="20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napToGrid w:val="false"/>
      <w:jc w:val="both"/>
    </w:pPr>
    <w:rPr>
      <w:sz w:val="20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80964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5878682" TargetMode="External"/><Relationship Id="rId9" Type="http://schemas.openxmlformats.org/officeDocument/2006/relationships/hyperlink" Target="http://www.nevo.co.il/case/26886665" TargetMode="External"/><Relationship Id="rId10" Type="http://schemas.openxmlformats.org/officeDocument/2006/relationships/hyperlink" Target="http://www.nevo.co.il/case/20531134" TargetMode="External"/><Relationship Id="rId11" Type="http://schemas.openxmlformats.org/officeDocument/2006/relationships/hyperlink" Target="http://www.nevo.co.il/case/5887664" TargetMode="External"/><Relationship Id="rId12" Type="http://schemas.openxmlformats.org/officeDocument/2006/relationships/hyperlink" Target="http://www.nevo.co.il/case/17929065" TargetMode="External"/><Relationship Id="rId13" Type="http://schemas.openxmlformats.org/officeDocument/2006/relationships/hyperlink" Target="http://www.nevo.co.il/case/20817891" TargetMode="External"/><Relationship Id="rId14" Type="http://schemas.openxmlformats.org/officeDocument/2006/relationships/hyperlink" Target="http://www.nevo.co.il/case/5852404" TargetMode="External"/><Relationship Id="rId15" Type="http://schemas.openxmlformats.org/officeDocument/2006/relationships/hyperlink" Target="http://www.nevo.co.il/case/13015506" TargetMode="External"/><Relationship Id="rId16" Type="http://schemas.openxmlformats.org/officeDocument/2006/relationships/hyperlink" Target="http://www.nevo.co.il/case/16913730" TargetMode="External"/><Relationship Id="rId17" Type="http://schemas.openxmlformats.org/officeDocument/2006/relationships/hyperlink" Target="http://www.nevo.co.il/case/20531134" TargetMode="External"/><Relationship Id="rId18" Type="http://schemas.openxmlformats.org/officeDocument/2006/relationships/hyperlink" Target="http://www.nevo.co.il/case/13093744" TargetMode="External"/><Relationship Id="rId19" Type="http://schemas.openxmlformats.org/officeDocument/2006/relationships/hyperlink" Target="http://www.nevo.co.il/case/22228298" TargetMode="External"/><Relationship Id="rId20" Type="http://schemas.openxmlformats.org/officeDocument/2006/relationships/hyperlink" Target="http://www.nevo.co.il/case/21475135" TargetMode="External"/><Relationship Id="rId21" Type="http://schemas.openxmlformats.org/officeDocument/2006/relationships/hyperlink" Target="http://www.nevo.co.il/case/25637368" TargetMode="External"/><Relationship Id="rId22" Type="http://schemas.openxmlformats.org/officeDocument/2006/relationships/hyperlink" Target="http://www.nevo.co.il/case/20151405" TargetMode="External"/><Relationship Id="rId23" Type="http://schemas.openxmlformats.org/officeDocument/2006/relationships/hyperlink" Target="http://www.nevo.co.il/case/6058757" TargetMode="External"/><Relationship Id="rId24" Type="http://schemas.openxmlformats.org/officeDocument/2006/relationships/hyperlink" Target="http://www.nevo.co.il/case/25217995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27365570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2022-04-05T08:33:00Z</dcterms:created>
  <dc:creator> </dc:creator>
  <dc:description/>
  <cp:keywords/>
  <dc:language>en-IL</dc:language>
  <cp:lastModifiedBy>h1</cp:lastModifiedBy>
  <dcterms:modified xsi:type="dcterms:W3CDTF">2022-04-05T08:33:00Z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סנד מצארווה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25809643;5878682;26886665;20531134:2;5887664;17929065;20817891;5852404;13015506;16913730;13093744;22228298;21475135;25637368;20151405;6058757;25217995;27365570</vt:lpwstr>
  </property>
  <property fmtid="{D5CDD505-2E9C-101B-9397-08002B2CF9AE}" pid="9" name="CITY">
    <vt:lpwstr>כ"ס</vt:lpwstr>
  </property>
  <property fmtid="{D5CDD505-2E9C-101B-9397-08002B2CF9AE}" pid="10" name="DATE">
    <vt:lpwstr>20210407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אביב שרון</vt:lpwstr>
  </property>
  <property fmtid="{D5CDD505-2E9C-101B-9397-08002B2CF9AE}" pid="14" name="LAWLISTTMP1">
    <vt:lpwstr>70301/144.a</vt:lpwstr>
  </property>
  <property fmtid="{D5CDD505-2E9C-101B-9397-08002B2CF9AE}" pid="15" name="LAWYER">
    <vt:lpwstr>אוריה תוהמי;עלא תלאווי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54418</vt:lpwstr>
  </property>
  <property fmtid="{D5CDD505-2E9C-101B-9397-08002B2CF9AE}" pid="22" name="NEWPARTB">
    <vt:lpwstr>06</vt:lpwstr>
  </property>
  <property fmtid="{D5CDD505-2E9C-101B-9397-08002B2CF9AE}" pid="23" name="NEWPARTC">
    <vt:lpwstr>19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380020210407</vt:lpwstr>
  </property>
  <property fmtid="{D5CDD505-2E9C-101B-9397-08002B2CF9AE}" pid="34" name="TYPE_N_DATE">
    <vt:lpwstr>38020210407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