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54551-10-23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שרבאתי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עבדאלרחמן שרבאתי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קטילאת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הממשלה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הסדר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 בעבירות של גילוי הזדהות עם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התשע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המאבק בטרור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חמש עבירות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הסתה לטרור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המאבק בטרור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שלוש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הנטען בחלק הכללי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14.12.1987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נוסד ארגון חמאס וביום </w:t>
      </w:r>
      <w:r>
        <w:rPr>
          <w:rFonts w:cs="Arial" w:ascii="Arial" w:hAnsi="Arial"/>
        </w:rPr>
        <w:t>22.6.1989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הוכרז ארגון חמאס כארגון טרור על ידי ממשלת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החמאס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1.11.2016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מוכרז החמאס כארגון טרור מכוח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המאבק בטרור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משעות הבוקר המוקדמות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חדרו פעילי ארגון הטרור חמאס ברצועת עזה יחד עם 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פעילי טרור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תוך שהם פורצים את גדר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חלקם חמושים היטב במגוון אמצעי לחימה לשטח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פעילי הטרור ביצעו מעשי טרור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רצחניים ואכזריים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רצחו באופן מתוכנן ומכוון בדם 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זקנים ילדים וטף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ישראלים וזרים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חיילים וחיילות ששהו באותה עת במספר רב של ישובים אזרחיים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במסיבת הטבע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ליד קיבוץ רעים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בבסיסי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ופצעו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חטפו פעילי טרור לרצועת עזה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ישראלים וזרים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ילדים ופעוטות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מעשי הזוועה הה</w:t>
      </w:r>
      <w:r>
        <w:rPr>
          <w:rFonts w:ascii="Arial" w:hAnsi="Arial" w:cs="Arial"/>
          <w:b/>
          <w:b/>
          <w:bCs/>
          <w:rtl w:val="true"/>
        </w:rPr>
        <w:t>מו</w:t>
      </w:r>
      <w:r>
        <w:rPr>
          <w:rFonts w:ascii="Arial" w:hAnsi="Arial" w:cs="Arial"/>
          <w:b/>
          <w:b/>
          <w:bCs/>
          <w:rtl w:val="true"/>
        </w:rPr>
        <w:t>ניים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משעות הבוקר של יום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ובמשך 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ארגוני הטרור ירי מאסיבי של אלפי רקטות ופצצות מרגמה אל עבר רחבי מדינת ישראל שגרמו לפגיעה ולנזק בחייהם של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בגופם ורכושם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 הטרור הנפשעים של פעילי הטרור גרמו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הנתונים במועד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למעל</w:t>
      </w:r>
      <w:r>
        <w:rPr>
          <w:rFonts w:ascii="Arial" w:hAnsi="Arial" w:cs="Arial"/>
          <w:rtl w:val="true"/>
        </w:rPr>
        <w:t>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הרוגים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5350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פצועים בדרגות פציעה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האירועים החלו להתפרסם ברשתות סרטונים המתעדים את מעשי הזוועה ההמוניים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ועדת השרים לענייני ביטחון לאומי החליטה על נקיטת פעולות צבאיות משמעותיות מכוח הסמכות שניתנה לה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יסוד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הממשלה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06:00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המלחמה שנכפתה על מדינת ישראל באמצעות מתקפת טרור רצחנית מרצועת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פועלים גורמי הביטחון נגד יעדי 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עקב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קיים </w:t>
      </w:r>
      <w:r>
        <w:rPr>
          <w:rFonts w:ascii="Arial" w:hAnsi="Arial" w:cs="Arial"/>
          <w:rtl w:val="true"/>
        </w:rPr>
        <w:t xml:space="preserve">היה </w:t>
      </w:r>
      <w:r>
        <w:rPr>
          <w:rFonts w:ascii="Arial" w:hAnsi="Arial" w:cs="Arial"/>
          <w:rtl w:val="true"/>
        </w:rPr>
        <w:t>חשש להסלמה בגזרות אחרות בקרב פעילי ותומכי טרור באשר 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מצויה מדינת ישראל בלחימה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התקופה ברלבנטית לכתב האישום החזיק הנאשם ברשת החברתית </w:t>
      </w:r>
      <w:r>
        <w:rPr>
          <w:rFonts w:cs="David" w:ascii="David" w:hAnsi="David"/>
          <w:b/>
          <w:bCs/>
        </w:rPr>
        <w:t>Facebook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תחת השם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aboud sharabati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בחשבון הפייסבוק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והיו לנאשם מעל </w:t>
      </w:r>
      <w:r>
        <w:rPr>
          <w:rFonts w:cs="Arial" w:ascii="Arial" w:hAnsi="Arial"/>
        </w:rPr>
        <w:t>4487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חברים והוא פתוח לכלל הציבור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כמנהל ויוצר של חשבון הפייסבוק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בכל התכנים שפורסמו בו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7.10.23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9.10.2023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ארבעה פרסומים בחשבון הפייסבוק שלו המהווים דברי שבח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אהדה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עידוד למעשה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תמיכה בו או הזדהות 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פי תוכנם של הפרסומים והנסיבות בהן פורסמו ישנה אפשרות ממשית שיביאו לעשיית מעשה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דברי שבח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אהדה תמיכה והזדהות עם ארגון טרור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תוכן הסרטונים המסיתים שהנאשם פרסם בחשבון הפייסבוק שברשותו מפורט 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סרטון וידאו מסית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נראים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סמל של התנועה המאוחדת לתנועות הפלסטיניות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טנדר לבן מסוג טויוטה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קטעים של אנשי חמאס מתאמנים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יורים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נלחמים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משתלטים על טנקים ישראלים ואף את אחד מהם מנופף בדגל פלסטין על הטנק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ברקע ניתן לשמוע שיר שמילותיו בערבית הן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עזה שלנו בדם שלה נלחמת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שאלוהים ישמור על המהפכנים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אקצה אין לנו מו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נצית את הכיבוש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עזה שלנו בדם שלה נלחמת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שאלוהים ישמור על המהפכנים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אקצה שלנו אין מו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נצית את הכיבוש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הנחישות שלנו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אבירות נחישות חזקה</w:t>
      </w:r>
      <w:r>
        <w:rPr>
          <w:rFonts w:cs="Arial" w:ascii="Arial" w:hAnsi="Arial"/>
          <w:rtl w:val="true"/>
        </w:rPr>
        <w:t>"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פרסום זה זכה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לייקים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ובסמוך לפרסום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פרסם הנאשם פרסום נוסף אשר בו נראה שייח מוחמד חסנאת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אשר גדל בעזה ומתגורר כעת בטורקיה המוכר בהתבטאותו המסיתה נגד ישראל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אומר בערבית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תפתחו להם את הגבולות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באלוהים הם יעשו בבגי ביהודים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באלוהים הם יעשו כמו בבגי ביהודים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בבגי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כינוי למשחק מלחמה במסגרתו על השחקנים לפעול להשגת נשק ולהרוג את יתר השחקנים במשחק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פרסום זה זכה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לייקים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סרטון מסית בו נראים אנשי 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לבושים מדי צבא וסרטים ירוקים עם כיתוב בערבית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קאסם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על כתף אחד מהם קטין לבוש מדים צבאיים עם סרט ירוק מעל ראשו עם כיתוב בערבית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קאסם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וסמל ניצחון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ברקע מתנגן שיר בערבית שמילותיו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החרב של ירושלים הוא החרב שלכם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אתם אנשים בעלי כבוד</w:t>
      </w:r>
      <w:r>
        <w:rPr>
          <w:rFonts w:cs="Arial" w:ascii="Arial" w:hAnsi="Arial"/>
          <w:rtl w:val="true"/>
        </w:rPr>
        <w:t xml:space="preserve">". 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פרסום זה זכה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לייקים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WhatsApp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יישומון חינמי להעברת מסרים מידיים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קטעי וידאו וקול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ליחידים וקבוצות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ווטסאפ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רשימת אנשי הקשר השמורים בטלפון השייך לנאשם ביום תפיסת המכשיר כללה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שני פרסומים בווטס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אפ במטרה להזדהות עם ארגון חמאס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תמונה של לוחמים מטעם עז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אל קאסם עם מדים ועל ראשם סרט 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התמונה נכתב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אלוהי השחר הבוקע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אלוהי הגברים אשר לא ישנו ושמרו על חלומותינו לאורך כל הלילה והשיגו בתפארה שאלוהים ישמור לנו על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שבה ומי שבה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לצד הכיתוב צירף סמלון של לב ירוק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יום פרסם תמונה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רואים שתי תימרו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עשן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העליון של התמונה מופיע שטחה הגיאוגרפ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של מדינת ישראל כאשר הוא מורכב בקצהו התחתון מראש טיל מכוון כלפי מטה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ושאר השטח מורכב מתימרו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עשן היוצא מראש הטיל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בקצהו העליון של תמרת העשן קבוע מסגד אל אקצה וממנו מתנופף דגל פלסטין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בחלקה התחתון של התמונה תמרת עשן נוספת לכל רוחב התמונה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צידה השמאלי נראה כמו ראש טיל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בתוך תמרות העשן מופיע הכיתוב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טופאן על אקצה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כינוי למתקפת הטרור של חמאס ומעשי הזוועה ההמונים אותם ביצע ביום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בטיעוניה לעונש 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4601-11-23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נגד בילאל בורקאן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עמדה על הצורך בהחמרת הענישה בעבירות של הסתה והזדהות עם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האירועים שהתרחשו ביום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ביקשה ליתן דגש למספר הפרסומים שנעשו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מועד פרסומם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החברים שהיו לנאשם באותה עת בחשבון הפייסבוק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לעובדה שהחשבון היה פתוח לכלל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נתון המבסס לדבריה דרגת חומרה בינונית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גבוהה ופוטנציאל סיכון משמעותי לביטחונו של הציבור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המאשימה יש לקבוע את המתחם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הנוגע למיקומו של הנאשם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המאשימה לכך שהנאשם הודה ונטל אחריות על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ניצב לחובתו רישום פלילי הכולל 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כנד שוטרים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בגינם ריצה מספר עונשי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תלוי ועומד נגדו מאסר על תנאי להפעלה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ציינה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פסיקת בית העליון מאפשרת לכלול את המאסר המותנה במקרה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המבחן הוא מהותי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טכני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במובן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הסתה לטרור משמעה קריאה לביצוע מעשה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ניתן להורות על הפעלת המאסר על תנאי בנסיבות המקרה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בתיק הקודם ביצע הנאשם הקשורות באלימות כנגד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הפרסומים כללו דברי הסתה לפגיעה בכוחות ביטחון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 עתרה המאשימה לקבוע את עונשו של הנאשם בחלקו העליון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ולהטיל עליו מאסר למשך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הפעלת המאסר על תנאי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לתוכנם של הפרסומים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חלקם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מצויים ברף חומרה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 דברים זה מוביל למסקנה שמרבית הפרסומים מצויים לדבריו בגבול שבין הזדהות להסתה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הינו צעיר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אין לו כל יכולת השפעה על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שניים מהפרסומים פורסמו בתוכנת ווטס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אפ ולנאשם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שיש לנאשם מספר גדול של חברים בחשבון הפייסבוק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שבעה מתוכם הגיבו לפרסום בלייקים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לגזרי הדין שניתנו 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את המתחם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הנוגע לנסיבותיו האישיות של הנאשם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בילד מאומץ שננטש על ידי הוריו בעת שהיה פעוט בן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וחיי חיים בשולי החברה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ביקש ליתן משקל לתנאי המעצר בהם נתון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סיווגו כעציר ביטחוני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להסתפק בשנת מאסר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ולהימנע מהטלת קנס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בסיום 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לשוב לחיק משפחתו כדי לסייע לה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585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b/>
          <w:bCs/>
          <w:u w:val="single"/>
          <w:rtl w:val="true"/>
        </w:rPr>
        <w:t xml:space="preserve">  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4601-11-23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בלאל בורקאן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16.7.2024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עמדתי בהרחבה על הערכים המוגנים שנפגעו כתוצאה מהמעשים 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הצורך לעצב מדיניות ענישה חדשה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זאת נוכח האירועים הקשים שהתרחשו ביום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 הביטחוני השורר מאז בתחומי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טעמים הנוגעים בשלום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ומתוך מטרה לשרש מעשי הזדהות והסתה מסוג זה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מתחם ענישה ביחס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הזדהות עם ארגון טרור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הסתה לטרור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זה אושר על ידי ערכאת הערעור ביום </w:t>
      </w:r>
      <w:r>
        <w:rPr>
          <w:rFonts w:cs="Arial" w:ascii="Arial" w:hAnsi="Arial"/>
        </w:rPr>
        <w:t>6.10.2024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שנדחה ערעור שהוגש מטעם ההגנה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</w:rPr>
        <w:t>33802-06-24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בלאל בורקאן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6.10.2024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לקווים המנחים אליהם התייחסתי בעניין בורקאן הנזכר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קביעת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מתחם העונש ההולם במקרה זה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העונש המתאים לנאשם בתוך המתחם יש להביא במסגרת שיקולי הענישה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וכן נסיבותיו האישיות כפי שפורטו על ידי סנגורו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 הנאשם רישום פלילי משמעותי הכולל ביצוע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הצתה מתוך מניע גזעני ורכוש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ריצה שלוש תקופות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מבין העבירות אותן ביצע בולטות עבירות האלימות כנגד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עבירה נוספת של ביצוע עסקה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נתונים אלו יכולים ללמד על מידת הסיכון הנשקף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שהעבירות בתיק שבפניי לא נעשו מתוך חוסר מחשבה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קלות דעת כמאמר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שיש קו מחשבתי ברור מצד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למעשים המכוונים לפגיעה בציבור מתוך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ובאנשי כוחות הביטחון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29181-04-20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 בין היתר על הנאשם מאסר על תנאי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</w:t>
      </w:r>
      <w:r>
        <w:rPr>
          <w:rFonts w:ascii="Arial" w:hAnsi="Arial" w:cs="Arial"/>
          <w:rtl w:val="true"/>
        </w:rPr>
        <w:t xml:space="preserve">גין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עבירת אלימות </w:t>
      </w:r>
      <w:r>
        <w:rPr>
          <w:rFonts w:ascii="Arial" w:hAnsi="Arial" w:cs="Arial"/>
          <w:rtl w:val="true"/>
        </w:rPr>
        <w:t xml:space="preserve">כנגד הגוף </w:t>
      </w:r>
      <w:r>
        <w:rPr>
          <w:rFonts w:ascii="Arial" w:hAnsi="Arial" w:cs="Arial"/>
          <w:rtl w:val="true"/>
        </w:rPr>
        <w:t>מסוג פשע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הצדדים חלוקים בשאלת הפעלתו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ולדעת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הנאשם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הכוללת אמנם ביטויים ולא מעשי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מקיימת במבחן ענייני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מהותי את הרציונל שבהפעלת התנאי התלוי ועומד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לדבריה הגדרה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הסתה לטרור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טומנת בחובה קריאה לנקוט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מפנה המאשימה לפסיקה המנחה לפיה הרשעה בעבירת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אף שאינה כוללת מעשה 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מאפשרת הפעלת מאסר על תנאי בעבירת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התכלית העומדת בבסיס עבירת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הסתה לטרור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הינה למנוע מעשי טרור כנגד גופו של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המקרה דנן הדבר נכון ביתר שאת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גם במסגרת התיק הקודם הורשע הנאשם בעבירות אלימות כלפי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חלקו של הפרסום כולל הסתה ביחס לאלימות בה נקטו מחבלי  חמאס כנגד אנשי כוחות הביטחון ביום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הסנגור לא ניתן להפעיל את המאסר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ניסוחו של התנאי הוא ביחס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עבירות אלימות כנגד הגוף מסוג פשע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ניסוח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מכוון רק למקרים בהם קיים יסוד של פגיעה פיזית בגופו של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טענה נוספת התייחסה לכך שלנאשם לא יוחסה עבירה של הסתה לאלימות או טרור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לעבירה שעיקרה מחוק המאבק בטרור הכולל ביטוי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נתון אשר לדבריו אינו מאפשר את הפעלת המאסר המותנה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לפסיקה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מבחן להפעלת עונש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התלוי ועומד כנגד נאשם </w:t>
      </w:r>
      <w:r>
        <w:rPr>
          <w:rFonts w:ascii="Arial" w:hAnsi="Arial" w:cs="Arial"/>
          <w:rtl w:val="true"/>
        </w:rPr>
        <w:t xml:space="preserve">הינו מבחן </w:t>
      </w:r>
      <w:r>
        <w:rPr>
          <w:rFonts w:ascii="Arial" w:hAnsi="Arial" w:cs="Arial"/>
          <w:rtl w:val="true"/>
        </w:rPr>
        <w:t>ענייני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מהותי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תנהגות פלילית </w:t>
      </w:r>
      <w:r>
        <w:rPr>
          <w:rFonts w:ascii="Arial" w:hAnsi="Arial" w:cs="Arial"/>
          <w:rtl w:val="true"/>
        </w:rPr>
        <w:t xml:space="preserve">הנבחנת </w:t>
      </w:r>
      <w:r>
        <w:rPr>
          <w:rFonts w:ascii="Arial" w:hAnsi="Arial" w:cs="Arial"/>
          <w:rtl w:val="true"/>
        </w:rPr>
        <w:t>באורח מהותי</w:t>
      </w:r>
      <w:r>
        <w:rPr>
          <w:rFonts w:ascii="Arial" w:hAnsi="Arial" w:cs="Arial"/>
          <w:rtl w:val="true"/>
        </w:rPr>
        <w:t xml:space="preserve"> המקיימת את הרציונל הקיים בהפעלת התנאי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</w:t>
      </w:r>
      <w:r>
        <w:rPr>
          <w:rFonts w:ascii="Arial" w:hAnsi="Arial" w:cs="Arial"/>
          <w:rtl w:val="true"/>
        </w:rPr>
        <w:t>אף אם א</w:t>
      </w:r>
      <w:r>
        <w:rPr>
          <w:rFonts w:ascii="Arial" w:hAnsi="Arial" w:cs="Arial"/>
          <w:rtl w:val="true"/>
        </w:rPr>
        <w:t>ין זהות מוחלטת בין יסודות עבירת התנאי לבין יסודותיה של העבירה הנוספת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49/80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מסילתי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808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1980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הורשע בעבירות של </w:t>
      </w:r>
      <w:r>
        <w:rPr>
          <w:rFonts w:ascii="Arial" w:hAnsi="Arial" w:cs="Arial"/>
          <w:rtl w:val="true"/>
        </w:rPr>
        <w:t>הזדהות עם ארגון טרור ו</w:t>
      </w:r>
      <w:r>
        <w:rPr>
          <w:rFonts w:ascii="Arial" w:hAnsi="Arial" w:cs="Arial"/>
          <w:rtl w:val="true"/>
        </w:rPr>
        <w:t>הסתה לטרור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למבחנים שנקבעו בפסיקה ניתן לקבוע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 מהפרסומים 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שהמדובר בביטויים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אינם כוללים מעשה אלימות פיזי שנעשה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בבחינת מעשי אלימות מילולית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להם זיקה הדוקה למעשי הזוועה ההמוניים שבוצעו החל מיום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ואילך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כמתואר בכתב האישום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בביטויים אלו קיים פוטנציאל ממשי לפגיעה בציבור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למעשה קריאה ברורה לפעול באלימות כנגד הגוף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בדרך של פגיעה והרג של יהודים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לפסיקה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איומים</w:t>
      </w:r>
      <w:r>
        <w:rPr>
          <w:rFonts w:ascii="Arial" w:hAnsi="Arial" w:cs="Arial"/>
          <w:rtl w:val="true"/>
        </w:rPr>
        <w:t xml:space="preserve"> יכולה להוביל </w:t>
      </w:r>
      <w:r>
        <w:rPr>
          <w:rFonts w:ascii="Arial" w:hAnsi="Arial" w:cs="Arial"/>
          <w:rtl w:val="true"/>
        </w:rPr>
        <w:t>להפעלת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בגין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עבירת אלימות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8118/09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דבורה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25.10.2009</w:t>
      </w:r>
      <w:r>
        <w:rPr>
          <w:rFonts w:cs="Arial" w:ascii="Arial" w:hAnsi="Arial"/>
          <w:rtl w:val="true"/>
        </w:rPr>
        <w:t xml:space="preserve">);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6420/10/10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סלסנר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23.8.2011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עיון ברישומו הפלילי של הנאשם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לחובתו הרשעות קודמות בעלי גוון דומה לתיק שבפניי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אלימות כנגד אנשי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ופעולות שנעשו מתוך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בדומה לאירועים שבפניי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פרסום ביטויי הזדהות והסתה ביחס למעשי טבח ופגיעה שנעשתה בגופם של אזרחים ואנשי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הרשעותיו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ריצה הנאשם שתי תקופות מאסר בשנים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המסקנה המתבקשת מהאמור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הסתה למעשי </w:t>
      </w:r>
      <w:r>
        <w:rPr>
          <w:rFonts w:ascii="Arial" w:hAnsi="Arial" w:cs="Arial"/>
          <w:rtl w:val="true"/>
        </w:rPr>
        <w:t>אלימות וטרור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פרסומים הקוראים לפגיעה והרג של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מאפשרים את הפעלת המאסר על תנאי </w:t>
      </w:r>
      <w:r>
        <w:rPr>
          <w:rFonts w:ascii="Arial" w:hAnsi="Arial" w:cs="Arial"/>
          <w:rtl w:val="true"/>
        </w:rPr>
        <w:t>התלוי ועומד כנגד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לבית המשפט קיים שיק</w:t>
      </w:r>
      <w:r>
        <w:rPr>
          <w:rFonts w:ascii="Arial" w:hAnsi="Arial" w:cs="Arial"/>
          <w:rtl w:val="true"/>
        </w:rPr>
        <w:t>ול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הדעת לעניין אופן הפעלת המאסר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להפעילו חלקו במצטבר וחלקו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נוכח נטילת האחריות על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המועד בו ניתן גזר הדין בתיק בו הופעל המאסר על תנאי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28.6.2020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אותו תיק נדון הנאשם כקטין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585" w:start="5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באיזון בין </w:t>
      </w:r>
      <w:r>
        <w:rPr>
          <w:rFonts w:ascii="Arial" w:hAnsi="Arial" w:cs="Arial"/>
          <w:rtl w:val="true"/>
        </w:rPr>
        <w:t>שיקולים אלו החלטתי לקבוע את עונשו של הנאשם בחלקו ה</w:t>
      </w:r>
      <w:r>
        <w:rPr>
          <w:rFonts w:ascii="Arial" w:hAnsi="Arial" w:cs="Arial"/>
          <w:rtl w:val="true"/>
        </w:rPr>
        <w:t>בינוני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עליון </w:t>
      </w:r>
      <w:r>
        <w:rPr>
          <w:rFonts w:ascii="Arial" w:hAnsi="Arial" w:cs="Arial"/>
          <w:rtl w:val="true"/>
        </w:rPr>
        <w:t>של מתחם העונש ההולם ולהטיל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בפועל 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המעצר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מצווה על מאסרו של הנאשם למשך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שלא יעבור עבירה מחוק המאבק בטרור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הפעלת מאסר על תנאי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כפי שנפסק בתיק מספר </w:t>
      </w:r>
      <w:r>
        <w:rPr>
          <w:rFonts w:cs="Arial" w:ascii="Arial" w:hAnsi="Arial"/>
        </w:rPr>
        <w:t>21981-4-20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שלום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כך שארבעה חודשים ירוצו במצטבר ושני חודשים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סה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כ ירצה הנאשם </w:t>
      </w:r>
      <w:r>
        <w:rPr>
          <w:rFonts w:cs="Arial" w:ascii="Arial" w:hAnsi="Arial"/>
          <w:u w:val="single"/>
        </w:rPr>
        <w:t>22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חודשים בניכוי ימי המעצר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תשלום קנס בסך 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>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אשר ישולם עד ליום </w:t>
      </w:r>
      <w:r>
        <w:rPr>
          <w:rFonts w:cs="Arial" w:ascii="Arial" w:hAnsi="Arial"/>
        </w:rPr>
        <w:t>1.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.2025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45" w:start="1035" w:end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firstLine="45" w:start="1035" w:end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ניתן יהיה לשלם את הקנס</w:t>
      </w:r>
      <w:r>
        <w:rPr>
          <w:rFonts w:cs="Arial" w:ascii="Arial" w:hAnsi="Arial"/>
          <w:sz w:val="20"/>
          <w:szCs w:val="20"/>
          <w:rtl w:val="true"/>
        </w:rPr>
        <w:t xml:space="preserve">/ </w:t>
      </w:r>
      <w:r>
        <w:rPr>
          <w:rFonts w:ascii="Arial" w:hAnsi="Arial" w:cs="Arial"/>
          <w:sz w:val="20"/>
          <w:sz w:val="20"/>
          <w:szCs w:val="20"/>
          <w:rtl w:val="true"/>
        </w:rPr>
        <w:t>פיצוי</w:t>
      </w:r>
      <w:r>
        <w:rPr>
          <w:rFonts w:cs="Arial" w:ascii="Arial" w:hAnsi="Arial"/>
          <w:sz w:val="20"/>
          <w:szCs w:val="20"/>
          <w:rtl w:val="true"/>
        </w:rPr>
        <w:t xml:space="preserve">/ </w:t>
      </w:r>
      <w:r>
        <w:rPr>
          <w:rFonts w:ascii="Arial" w:hAnsi="Arial" w:cs="Arial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Arial" w:ascii="Arial" w:hAnsi="Arial"/>
          <w:sz w:val="20"/>
          <w:szCs w:val="20"/>
          <w:rtl w:val="true"/>
        </w:rPr>
        <w:t xml:space="preserve">/  </w:t>
      </w:r>
      <w:r>
        <w:rPr>
          <w:rFonts w:ascii="Arial" w:hAnsi="Arial" w:cs="Arial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spacing w:lineRule="auto" w:line="360"/>
        <w:ind w:firstLine="720" w:start="315" w:end="0"/>
        <w:jc w:val="both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>בכרטיס אשראי – באתר המקוון של רשות האכיפה והגבייה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cs="Arial" w:ascii="Arial" w:hAnsi="Arial"/>
          <w:sz w:val="20"/>
          <w:szCs w:val="20"/>
        </w:rPr>
        <w:t>www.eca.gov.il</w:t>
      </w:r>
      <w:r>
        <w:rPr>
          <w:rFonts w:cs="Arial" w:ascii="Arial" w:hAnsi="Arial"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firstLine="720" w:start="315" w:end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מ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וקד שירות טלפוני בשרות עצמי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מרכז גבייה</w:t>
      </w:r>
      <w:r>
        <w:rPr>
          <w:rFonts w:cs="Arial" w:ascii="Arial" w:hAnsi="Arial"/>
          <w:sz w:val="20"/>
          <w:szCs w:val="20"/>
          <w:rtl w:val="true"/>
        </w:rPr>
        <w:t xml:space="preserve">)  –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בטלפון </w:t>
      </w:r>
      <w:r>
        <w:rPr>
          <w:rFonts w:cs="Arial" w:ascii="Arial" w:hAnsi="Arial"/>
          <w:sz w:val="20"/>
          <w:szCs w:val="20"/>
        </w:rPr>
        <w:t>35592</w:t>
      </w:r>
      <w:r>
        <w:rPr>
          <w:rFonts w:cs="Arial" w:ascii="Arial" w:hAnsi="Arial"/>
          <w:sz w:val="20"/>
          <w:szCs w:val="20"/>
          <w:rtl w:val="true"/>
        </w:rPr>
        <w:t xml:space="preserve">*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או בטלפון </w:t>
      </w:r>
      <w:r>
        <w:rPr>
          <w:rFonts w:cs="Arial" w:ascii="Arial" w:hAnsi="Arial"/>
          <w:sz w:val="20"/>
          <w:szCs w:val="20"/>
        </w:rPr>
        <w:t>073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cs="Arial" w:ascii="Arial" w:hAnsi="Arial"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firstLine="720" w:start="315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2055000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במזומן בכל סניף של בנק הדואר – בהצגת תעודת זהות בלבד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אין צורך בשוברי תשלום</w:t>
      </w:r>
      <w:r>
        <w:rPr>
          <w:rFonts w:cs="Arial" w:ascii="Arial" w:hAnsi="Arial"/>
          <w:sz w:val="20"/>
          <w:szCs w:val="20"/>
          <w:rtl w:val="true"/>
        </w:rPr>
        <w:t>).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  <w:b/>
          <w:bCs/>
          <w:sz w:val="22"/>
          <w:szCs w:val="22"/>
        </w:rPr>
        <w:t>45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יום מהיום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2"/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rtl w:val="true"/>
        </w:rPr>
        <w:t xml:space="preserve">       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54551-10-23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עבדאלרחמן שרבאתי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585" w:hanging="585"/>
      </w:pPr>
      <w:rPr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35" w:hanging="675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bidi="he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4.a.1" TargetMode="External"/><Relationship Id="rId4" Type="http://schemas.openxmlformats.org/officeDocument/2006/relationships/hyperlink" Target="http://www.nevo.co.il/law/141771/24.b.2" TargetMode="External"/><Relationship Id="rId5" Type="http://schemas.openxmlformats.org/officeDocument/2006/relationships/hyperlink" Target="http://www.nevo.co.il/law/73690" TargetMode="External"/><Relationship Id="rId6" Type="http://schemas.openxmlformats.org/officeDocument/2006/relationships/hyperlink" Target="http://www.nevo.co.il/law/73690/40.a" TargetMode="External"/><Relationship Id="rId7" Type="http://schemas.openxmlformats.org/officeDocument/2006/relationships/hyperlink" Target="http://www.nevo.co.il/law/73690/40.a1" TargetMode="External"/><Relationship Id="rId8" Type="http://schemas.openxmlformats.org/officeDocument/2006/relationships/hyperlink" Target="http://www.nevo.co.il/law/141771/24.a.1" TargetMode="External"/><Relationship Id="rId9" Type="http://schemas.openxmlformats.org/officeDocument/2006/relationships/hyperlink" Target="http://www.nevo.co.il/law/141771" TargetMode="External"/><Relationship Id="rId10" Type="http://schemas.openxmlformats.org/officeDocument/2006/relationships/hyperlink" Target="http://www.nevo.co.il/law/141771/24.b.2" TargetMode="External"/><Relationship Id="rId11" Type="http://schemas.openxmlformats.org/officeDocument/2006/relationships/hyperlink" Target="http://www.nevo.co.il/law/73690/40.a" TargetMode="External"/><Relationship Id="rId12" Type="http://schemas.openxmlformats.org/officeDocument/2006/relationships/hyperlink" Target="http://www.nevo.co.il/law/73690/40.a1" TargetMode="External"/><Relationship Id="rId13" Type="http://schemas.openxmlformats.org/officeDocument/2006/relationships/hyperlink" Target="http://www.nevo.co.il/law/73690" TargetMode="External"/><Relationship Id="rId14" Type="http://schemas.openxmlformats.org/officeDocument/2006/relationships/hyperlink" Target="http://www.nevo.co.il/case/30155831" TargetMode="External"/><Relationship Id="rId15" Type="http://schemas.openxmlformats.org/officeDocument/2006/relationships/hyperlink" Target="http://www.nevo.co.il/case/30155831" TargetMode="External"/><Relationship Id="rId16" Type="http://schemas.openxmlformats.org/officeDocument/2006/relationships/hyperlink" Target="http://www.nevo.co.il/case/26619073" TargetMode="External"/><Relationship Id="rId17" Type="http://schemas.openxmlformats.org/officeDocument/2006/relationships/hyperlink" Target="http://www.nevo.co.il/case/17942576" TargetMode="External"/><Relationship Id="rId18" Type="http://schemas.openxmlformats.org/officeDocument/2006/relationships/hyperlink" Target="http://www.nevo.co.il/case/5736985" TargetMode="External"/><Relationship Id="rId19" Type="http://schemas.openxmlformats.org/officeDocument/2006/relationships/hyperlink" Target="http://www.nevo.co.il/case/5705843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2024-11-10T12:50:00Z</dcterms:created>
  <dc:creator> </dc:creator>
  <dc:description/>
  <cp:keywords/>
  <dc:language>en-IL</dc:language>
  <cp:lastModifiedBy>h1</cp:lastModifiedBy>
  <dcterms:modified xsi:type="dcterms:W3CDTF">2024-11-10T12:50:00Z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עבדאלרחמן שרבאתי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ProcID=135&amp;PartA=33802&amp;PartB=06&amp;PartC=24</vt:lpwstr>
  </property>
  <property fmtid="{D5CDD505-2E9C-101B-9397-08002B2CF9AE}" pid="9" name="CASESLISTTMP1">
    <vt:lpwstr>30155831:2;26619073;17942576;5736985;5705843</vt:lpwstr>
  </property>
  <property fmtid="{D5CDD505-2E9C-101B-9397-08002B2CF9AE}" pid="10" name="CITY">
    <vt:lpwstr>י-ם</vt:lpwstr>
  </property>
  <property fmtid="{D5CDD505-2E9C-101B-9397-08002B2CF9AE}" pid="11" name="DATE">
    <vt:lpwstr>20241107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ארנון איתן</vt:lpwstr>
  </property>
  <property fmtid="{D5CDD505-2E9C-101B-9397-08002B2CF9AE}" pid="15" name="LAWLISTTMP1">
    <vt:lpwstr>141771/024.a.1;024.b.2</vt:lpwstr>
  </property>
  <property fmtid="{D5CDD505-2E9C-101B-9397-08002B2CF9AE}" pid="16" name="LAWLISTTMP2">
    <vt:lpwstr>73690/040.a;040.a1</vt:lpwstr>
  </property>
  <property fmtid="{D5CDD505-2E9C-101B-9397-08002B2CF9AE}" pid="17" name="LAWYER">
    <vt:lpwstr>רמזי קטילאת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54551</vt:lpwstr>
  </property>
  <property fmtid="{D5CDD505-2E9C-101B-9397-08002B2CF9AE}" pid="24" name="NEWPARTB">
    <vt:lpwstr>10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380020241107</vt:lpwstr>
  </property>
  <property fmtid="{D5CDD505-2E9C-101B-9397-08002B2CF9AE}" pid="36" name="TYPE_N_DATE">
    <vt:lpwstr>38020241107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