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54615-03-16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מוסטפה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141" w:end="0"/>
        <w:jc w:val="start"/>
        <w:rPr/>
      </w:pPr>
      <w:r>
        <w:rPr>
          <w:rtl w:val="true"/>
        </w:rPr>
      </w:r>
    </w:p>
    <w:tbl>
      <w:tblPr>
        <w:bidiVisual w:val="true"/>
        <w:tblW w:w="8789" w:type="dxa"/>
        <w:jc w:val="start"/>
        <w:tblInd w:w="-7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4"/>
        <w:gridCol w:w="4395"/>
      </w:tblGrid>
      <w:tr>
        <w:trPr/>
        <w:tc>
          <w:tcPr>
            <w:tcW w:w="4394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לומפ</w:t>
            </w:r>
          </w:p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כריסטיאן דיק</w:t>
            </w:r>
          </w:p>
        </w:tc>
        <w:tc>
          <w:tcPr>
            <w:tcW w:w="439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78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  <w:rtl w:val="true"/>
              </w:rPr>
            </w:r>
            <w:bookmarkStart w:id="1" w:name="LastJudge"/>
            <w:bookmarkStart w:id="2" w:name="LastJudge"/>
            <w:bookmarkEnd w:id="2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מוחמד מחמוד</w:t>
            </w:r>
          </w:p>
        </w:tc>
        <w:tc>
          <w:tcPr>
            <w:tcW w:w="439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אכרם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firstLine="141"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57" w:before="0" w:after="160"/>
        <w:ind w:firstLine="422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2" w:end="0"/>
        <w:contextualSpacing/>
        <w:jc w:val="both"/>
        <w:rPr>
          <w:rFonts w:ascii="Calibri" w:hAnsi="Calibri" w:cs="Calibri"/>
        </w:rPr>
      </w:pPr>
      <w:bookmarkStart w:id="7" w:name="ABSTRACT_START"/>
      <w:bookmarkEnd w:id="7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קרלו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כשבוע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Fonts w:ascii="Calibri" w:hAnsi="Calibri" w:cs="Calibri"/>
          <w:rtl w:val="true"/>
        </w:rPr>
        <w:t>כשבוע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קרלו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הוסכם כי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120" w:after="120"/>
        <w:ind w:firstLine="425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רווק והתגורר בשכונת עיסאוויה בירושלים עד למעצרו בחודש מרץ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השלים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לימוד בבית ספר מקצועי ובסיומם עזב את מסגרת לימודיו על מנת להשתלב בשוק העבודה בתחום האלומיניום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למד קורס הכשרה בתחום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עשרים ושלוש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חשמלאי במקצועו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 לא 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</w:t>
      </w:r>
      <w:r>
        <w:rPr>
          <w:rFonts w:ascii="Calibri" w:hAnsi="Calibri" w:cs="Calibri"/>
          <w:rtl w:val="true"/>
        </w:rPr>
        <w:t xml:space="preserve">נת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מצא את הנשק ולאור תחושות פחד וחשש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 הרשעתו בדין 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לא דיווח למשטרה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אישר שמסר את הנשק למחמד אולם שלל קבלת תשלום על כך על אף שסוכם על מחיר תשלום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אף לא זיהה את עצמו כמי שעוסק בסחר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 הנאשם שלל את קיומו של הנשק השני ושלל ידיעה שמחמד התכוון להשתמש בנשק לביצוע פיגוע ירי חבלני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הביע לפני קצינת המבחן הבנה פורמאלית לכך שמעשיו חוצים גבולות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חמורים ומסכנים 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הסביר כי מעורבותו בפלילים בכלל ובפרט בנדון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נובעת מכך שלא שקל את השלכות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הוא הושפע מגורמים חברתיים בסביבתו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צמצם כל זיקה בין מעשיו להשפעות המצב הביטחוני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להשתייכות לזרם פוליטי מסוים ושלל מעורבות אידיאולוגית מצדו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 כן שלל סחר בנשק מטעמים כלכליים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</w:t>
      </w:r>
      <w:r>
        <w:rPr>
          <w:rFonts w:ascii="Calibri" w:hAnsi="Calibri" w:cs="Calibri"/>
          <w:rtl w:val="true"/>
        </w:rPr>
        <w:t>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 בנאשם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שגדל במשפחה בעלת ערכים נורמטיביים ולו הרגלי עבודה תקינים בתחום התעסוקתי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קצינת המבחן התרשמה מכך שהנאשם חסר בשלות רגשית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 קווי אישיות ילדותיים וקושי בוויסות דחפים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תיאר כי יש לו נטייה להיגרר אחר הסובבים 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אבחנה בין צרכיו לצרכיהם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 העבירות בהם היה מעורב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התרשמה קצינת המבחן מכך שמעורבותו של הנאשם בעבירות אלו הם על רקע היותו מושפע מאחרים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אישיות מגובשת וכמי שעסוק בנראות ובזהות הגברית שלו בקרב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שבא לידי ביטוי בעבירות בהם התקשה להפעיל שיקול דעת מספק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בביצוע העבירות באים לידי ביטוי מאפיינים שוליים ותפיסות בעייתיות כלפי גבולות 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 הנאשם נטל אחריות חלקית 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קצינת המבחן התרשמה שרמת הסיכון להישנות התנהגות עוברת חוק עלתה ולא נוצר כל פתח מצדו לבחינת אפיק שיקומי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קצינת המבחן לא באה בהמלצה טיפולית בעניינו והמליצה להשית על הנאשם ענישה מוחשית ובעלת אופי הרתעתי להבהרת גבולות החוק וחומרת מעשיו לצד חומרת העבירות הנדונות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המליצה לשקול בשיקולי הענישה גם את גילו הצעיר ולשקול את העובדה כי המעצר הנוכחי היווה גורם מרתיע עבורו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יוער כי קצינת המבחן התייחסה בתסקיר לעברו הפלילי של הנאשם וכן לכך שתלוי ועומד כנגדו כתב 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הוגש בחודש ספטמבר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 משפט השלום בפתח תקווה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 קשירת קשר וגניבה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מאחר שהנאשם לא הורשע בעבירה זו לא מצאתי לתת כל משקל לעובדה זו בבואי לגזור את דינו של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firstLine="425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 כוח המאשימה עתר למתחם עונש הולם הנע בין שלוש שנים לשבע 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בשל הצורך להחמיר בעבירות נשק 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וסחר בנשק 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ש</w:t>
      </w:r>
      <w:r>
        <w:rPr>
          <w:rFonts w:ascii="Calibri" w:hAnsi="Calibri" w:cs="Calibri"/>
          <w:rtl w:val="true"/>
        </w:rPr>
        <w:t>ום</w:t>
      </w:r>
      <w:r>
        <w:rPr>
          <w:rFonts w:ascii="Calibri" w:hAnsi="Calibri" w:cs="Calibri"/>
          <w:rtl w:val="true"/>
        </w:rPr>
        <w:t xml:space="preserve"> קיומה של סכנה לשלום הציבור ולביטחונו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 פוטנציאל הנזק העצום העלול להיגרם כתוצאה משימוש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הוסיף בא כוח המאשימה כי הנשק עלול להתגלגל לידיהם של גורמים עבריינים או חבלניים ועל כן הפוטנציאל לכך קיים בכל עבירה של 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שהנאשם לא היה מודע לכך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הציג פסיקה לתמיכה בטענותיו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 כוח המאשימה עתר להטלת עונש ברף הבינני של המתחם וזאת מאחר שמתסקיר שירות המבחן עלה שהנאשם לא לקח אחריות מלאה 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 קצינת המבחן לא באה בהמלצה טיפולית בעניינו ומסרה כי להערכתה קיימת רמת מסוכנות גבוהה להישנות 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ביקש בא כוח המאשימה ליתן משקל לכך שמדובר במעידתו השנייה של הנאשם 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עתר בא כוח המאשימה להטלת מאסר מותנה וקנס והגיש פסיקה לתמיכה בטענותיו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 כוח הנאשם הדגיש כי נסיבות מקרה זה הן אינן שגרתיות ועל כן מתחם העונש ההולם צריך להיות נמוך בהרבה מזה שעתרה לו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הנשק לא היה תקין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ומכאן שפוטנציאל הנזק במקרה זה הוא נמוך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בעבירה אחת של סחר בנשק ולא בשתי עבירות ואף לכך יש ליתן משקל בעת קביעת מתחם העונש 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כן סבר בא כוח הנאשם כי מתחם העונש ההולם צריך לנוע 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והגיש פסיקה לתמיכה בטענותיו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לעונש המתאים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 בא כוח הנאשם כי מדובר בנאשם 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 למשפחה 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טרם מעצרו עבד בתחום האלומיניום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לקח אחריות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חסך זמן שיפוטי ושהה במעצר תקופה ממושכת שהיוותה לו גורם מרתיע וזהו מאסרו 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אשר על כן ביקש בא כוח הנאשם להטיל עליו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בדברו האחרון מסר כי הוא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 שייך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להתנהגות מסוג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מדובר בטעות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מסר כי הוא אדם עובד ולאחר שחרורו מהמאסר הוא רוצה לבנות את עתידו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להקים עסק בתחום האלומיניום ולהקים משפחה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42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7" w:before="0" w:after="160"/>
        <w:ind w:firstLine="425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/>
      </w:pPr>
      <w:r>
        <w:rPr>
          <w:rFonts w:ascii="Arial" w:hAnsi="Arial" w:cs="Arial"/>
          <w:rtl w:val="true"/>
        </w:rPr>
        <w:t xml:space="preserve">בהתאם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5" w:end="0"/>
        <w:contextualSpacing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rtl w:val="true"/>
        </w:rPr>
        <w:t>הערכים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הם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ההגנה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הציבור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וביטחונו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שמירה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שלמות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גופו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ורכושו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אדם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ומניעת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משמעותית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ידי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שאינו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מיומן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בכך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החומרה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הגלומה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פוטנציאל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בנפש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וברכוש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שעלולים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להיגרם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אשר לסוחרים בנשק הדגיש בית המשפט העליון כי יש לראות ב</w:t>
      </w:r>
      <w:r>
        <w:rPr>
          <w:rFonts w:ascii="David" w:hAnsi="David"/>
          <w:rtl w:val="true"/>
          <w:lang w:eastAsia="he-IL"/>
        </w:rPr>
        <w:t>משנה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חומרה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 מעשיהם</w:t>
      </w:r>
      <w:r>
        <w:rPr>
          <w:rFonts w:cs="David" w:ascii="David" w:hAnsi="David"/>
          <w:rtl w:val="true"/>
          <w:lang w:eastAsia="he-IL"/>
        </w:rPr>
        <w:t>,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</w:rPr>
        <w:t xml:space="preserve">ועל כן יש </w:t>
      </w:r>
      <w:r>
        <w:rPr>
          <w:rFonts w:ascii="Calibri" w:hAnsi="Calibri" w:cs="Calibri"/>
          <w:rtl w:val="true"/>
        </w:rPr>
        <w:t>להחמיר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5" w:end="0"/>
        <w:contextualSpacing/>
        <w:jc w:val="both"/>
        <w:rPr>
          <w:rFonts w:ascii="David" w:hAnsi="David" w:cs="David"/>
        </w:rPr>
      </w:pP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שהוא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מטבעו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כלי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לעבור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ולהגיע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גורמים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שיבצעו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באמצעותו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פליליות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חמורות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ארגוני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טרור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שיעשו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</w:t>
      </w:r>
      <w:r>
        <w:rPr>
          <w:rFonts w:ascii="Franklin Gothic Medium" w:hAnsi="Franklin Gothic Medium" w:cs="Franklin Gothic Medium"/>
          <w:rtl w:val="true"/>
        </w:rPr>
        <w:t>אירועי טרור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הסיכון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מהסחר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מחייב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הטלת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ענישה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מחמירה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מבצעי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העבירות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בחוליות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השונות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בשרשרת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אינם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מודעים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לתכלית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זילברטל</w:t>
      </w:r>
      <w:r>
        <w:rPr>
          <w:rFonts w:ascii="David" w:hAnsi="David"/>
          <w:rtl w:val="true"/>
          <w:lang w:eastAsia="he-IL"/>
        </w:rPr>
        <w:t xml:space="preserve"> 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מיום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חזר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הסכנה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מקימות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להסלמה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עבריינית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ויוצרות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הנהוגה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המחייבת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הרשעתו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הראשונה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>)).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באה לידי ביטוי בשורה ארוכה של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</w:t>
      </w:r>
      <w:r>
        <w:rPr>
          <w:rFonts w:ascii="Calibri" w:hAnsi="Calibri" w:cs="Calibri"/>
          <w:rtl w:val="true"/>
        </w:rPr>
        <w:t>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היקפן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המתרחב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המדאיגה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התעורר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בסכסוך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ברחוב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בקטטה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ניצים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פנימה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בנפש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החומרה משתקפת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בעונש המאסר </w:t>
      </w:r>
      <w:r>
        <w:rPr>
          <w:rFonts w:ascii="Arial" w:hAnsi="Arial" w:cs="Arial"/>
          <w:rtl w:val="true"/>
        </w:rPr>
        <w:t xml:space="preserve">הקבוע לצד </w:t>
      </w:r>
      <w:r>
        <w:rPr>
          <w:rFonts w:ascii="Arial" w:hAnsi="Arial" w:cs="Arial"/>
          <w:rtl w:val="true"/>
        </w:rPr>
        <w:t xml:space="preserve">עבירה זו </w:t>
      </w:r>
      <w:r>
        <w:rPr>
          <w:rFonts w:ascii="Arial" w:hAnsi="Arial" w:cs="Arial"/>
          <w:rtl w:val="true"/>
        </w:rPr>
        <w:t>עד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 חיות 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שיצאו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אוזכרו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מגלה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ושרקאווי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הפוטנציאלי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cs="Calibri" w:ascii="Calibri" w:hAnsi="Calibri"/>
          <w:b/>
          <w:bCs/>
          <w:rtl w:val="true"/>
        </w:rPr>
        <w:t xml:space="preserve">..." 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</w:t>
      </w:r>
      <w:r>
        <w:rPr>
          <w:rFonts w:ascii="David" w:hAnsi="David"/>
          <w:rtl w:val="true"/>
        </w:rPr>
        <w:t>תלויה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למשל</w:t>
      </w:r>
      <w:r>
        <w:rPr>
          <w:rFonts w:ascii="David" w:hAnsi="David"/>
          <w:rtl w:val="true"/>
        </w:rPr>
        <w:t xml:space="preserve"> 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קיבל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המדינה</w:t>
      </w:r>
      <w:r>
        <w:rPr>
          <w:rFonts w:ascii="David" w:hAnsi="David"/>
          <w:rtl w:val="true"/>
          <w:lang w:eastAsia="he-IL"/>
        </w:rPr>
        <w:t xml:space="preserve"> 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בחיפה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לריצוי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עבירות של החזקה ונשיאת 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hyperlink r:id="rId27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וגזר עליו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בן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צבר לחובתו הרשעה אחת בעבירת איומים ושבל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החזיק בתת מקלע ומחסנית והסתירם בשביל קרוב משפחתו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למשך שבוע ימים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שבסופם העבירם לאחר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אשר קנה את הנשק והמחסנית מקרוב משפחתו של הנאשם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חמיאל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6.9.16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דחה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המדינה</w:t>
      </w:r>
      <w:r>
        <w:rPr>
          <w:rFonts w:ascii="David" w:hAnsi="David"/>
          <w:rtl w:val="true"/>
          <w:lang w:eastAsia="he-IL"/>
        </w:rPr>
        <w:t xml:space="preserve"> 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לריצוי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שעניינן</w:t>
      </w:r>
      <w:r>
        <w:rPr>
          <w:rFonts w:ascii="David" w:hAnsi="David"/>
          <w:rtl w:val="true"/>
          <w:lang w:eastAsia="he-IL"/>
        </w:rPr>
        <w:t xml:space="preserve">  </w:t>
      </w:r>
      <w:r>
        <w:rPr>
          <w:rFonts w:ascii="David" w:hAnsi="David"/>
          <w:rtl w:val="true"/>
          <w:lang w:eastAsia="he-IL"/>
        </w:rPr>
        <w:t>סחר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בשלוש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לסוכן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גוסטב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>תמורת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49,000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ובפעם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השלישית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ואקדח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תמורתם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סוכם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תשלום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בסך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121,000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התייחס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לעונשו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וציין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מקל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יחד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מהווה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חריג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המצדיק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התערבותה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ערכאת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הערעור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7552/14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יוסף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אגבאריה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ניתן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23.6.15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 בתל אביב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32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שבוצע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חד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מכר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לסוכן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משטרתי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נוסף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הורשע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20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למעשה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כמתווך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בה</w:t>
      </w:r>
      <w:r>
        <w:rPr>
          <w:rFonts w:cs="Franklin Gothic Medium" w:ascii="Franklin Gothic Medium" w:hAnsi="Franklin Gothic Medium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משפט העליון</w:t>
      </w:r>
      <w:r>
        <w:rPr>
          <w:rFonts w:ascii="Arial" w:hAnsi="Arial" w:cs="Arial"/>
          <w:rtl w:val="true"/>
        </w:rPr>
        <w:t xml:space="preserve"> לא התערב ב</w:t>
      </w:r>
      <w:r>
        <w:rPr>
          <w:rFonts w:ascii="Arial" w:hAnsi="Arial" w:cs="Arial"/>
          <w:rtl w:val="true"/>
        </w:rPr>
        <w:t xml:space="preserve">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מאסר שנקבעו בבית המשפט המחוזי בחיפה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2606/13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שני אקדחים ושתי מחסניות של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8.6.14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 על חומרת 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שהוטל על ידי בית המשפט המחוזי בנצרת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וקשירת קשר לביצוע פשע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כדורי אקדח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משפט העליון התייחס למתחם הענישה שנקבע על ידי בית המשפט המחוזי ושנע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וקבע כי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למצער ניתן לומר שמתחם העונש שקבע בית המשפט המחוזי אינו מחמיר ולא מצאנו לפרט מעבר לכך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526/14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בבית המשפט המחוזי בבאר שבע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 ומחסנית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24207-06-13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36381-05-15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31.12.15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אשר ל</w:t>
      </w:r>
      <w:r>
        <w:rPr>
          <w:rFonts w:ascii="David" w:hAnsi="David"/>
          <w:b/>
          <w:b/>
          <w:bCs/>
          <w:rtl w:val="true"/>
        </w:rPr>
        <w:t>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הקשורות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Franklin Gothic Medium" w:hAnsi="Franklin Gothic Medium" w:cs="Franklin Gothic Medium"/>
          <w:rtl w:val="true"/>
        </w:rPr>
        <w:t>מחד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העונש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המֵרבי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שנקצב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בצד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עבירת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בנשק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העומד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</w:rPr>
        <w:t>15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שנים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בנוסף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יש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להתחשב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בכך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שמדובר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ברובה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מסוג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  <w:rtl w:val="true"/>
        </w:rPr>
        <w:t>"</w:t>
      </w:r>
      <w:r>
        <w:rPr>
          <w:rFonts w:ascii="Franklin Gothic Medium" w:hAnsi="Franklin Gothic Medium" w:cs="Franklin Gothic Medium"/>
          <w:rtl w:val="true"/>
        </w:rPr>
        <w:t>קרלו</w:t>
      </w:r>
      <w:r>
        <w:rPr>
          <w:rFonts w:cs="Franklin Gothic Medium" w:ascii="Franklin Gothic Medium" w:hAnsi="Franklin Gothic Medium"/>
          <w:rtl w:val="true"/>
        </w:rPr>
        <w:t xml:space="preserve">", </w:t>
      </w:r>
      <w:r>
        <w:rPr>
          <w:rFonts w:ascii="Calibri" w:hAnsi="Calibri" w:cs="Calibri"/>
          <w:rtl w:val="true"/>
        </w:rPr>
        <w:t>המאפשר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או לגרימת נזק היקפי גדול בגוף האדם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ענינו של הנאשם ממקרה של סחר בנשק בעל קנה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 או באחזקה של חלקי נשק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שלצדן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לקיפוד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עסקינן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שקדם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להם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תכנון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המוקדם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שכלל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שיחות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ומפגשים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בהם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הנאשם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מסר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למחמד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זה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פעמיים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בהתאם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לבקשתו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לאחר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שבפעם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הראשונה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מחמד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ניסה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בנשק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הוא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ירה</w:t>
      </w:r>
      <w:r>
        <w:rPr>
          <w:rFonts w:cs="Franklin Gothic Medium" w:ascii="Franklin Gothic Medium" w:hAnsi="Franklin Gothic Medium"/>
          <w:rtl w:val="true"/>
        </w:rPr>
        <w:t xml:space="preserve">.  </w:t>
      </w:r>
      <w:r>
        <w:rPr>
          <w:rFonts w:ascii="Arial" w:hAnsi="Arial" w:cs="Arial"/>
          <w:rtl w:val="true"/>
        </w:rPr>
        <w:t>נגישותו של הנאשם לכלי הנשק שבאה לידי ביטוי ביכולתו לפעול במהירות למימוש העסקה תוך ימים ספורים מפניית מחמד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מלמדים על מידת מעורבותו </w:t>
      </w:r>
      <w:r>
        <w:rPr>
          <w:rFonts w:ascii="Arial" w:hAnsi="Arial" w:cs="Arial"/>
          <w:rtl w:val="true"/>
        </w:rPr>
        <w:t>בעבירות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Calibri" w:hAnsi="Calibri" w:cs="Calibri"/>
          <w:rtl w:val="true"/>
        </w:rPr>
        <w:t>הסיבות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מאידך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שקלתי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כי מדובר בעבירה אחת בלבד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וכן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העובדה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 שמדובר בנשק פגום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 בעוצמה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Franklin Gothic Medium" w:hAnsi="Franklin Gothic Medium" w:cs="Franklin Gothic Medium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firstLine="425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cs="Calibri" w:ascii="Calibri" w:hAnsi="Calibri"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120" w:after="120"/>
        <w:ind w:firstLine="425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ascii="Calibri" w:hAnsi="Calibri" w:cs="Calibri"/>
          <w:bCs/>
          <w:u w:val="single"/>
          <w:rtl w:val="true"/>
          <w:lang w:eastAsia="he-IL"/>
        </w:rPr>
        <w:t>העונש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המתאים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 כשנה וידוע כי תנאי מעצר קשים מתנאי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לנאשם הרשעה אחת משנת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 עבירות התפרעות שסופן נזק והיזק לרכוש במזיד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שבגינן הוא נדון לעונש של התחייבות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וזהו מאסרו 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שקלתי את העובדה שהנאשם נטל אחריות חלקית למעשיו לפני קצינת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מהאמור בתסקיר עולה כי 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 העדר אופק שיקומי והחשש כי הנאשם ייגרר אחר 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lang w:eastAsia="he-IL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 היחיד ו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טאטור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1.2.15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  <w:lang w:eastAsia="he-IL"/>
        </w:rPr>
      </w:pPr>
      <w:r>
        <w:rPr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הספציפיות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והמעשה</w:t>
      </w:r>
      <w:r>
        <w:rPr>
          <w:b/>
          <w:bCs/>
          <w:rtl w:val="true"/>
          <w:lang w:eastAsia="he-IL"/>
        </w:rPr>
        <w:t>.</w:t>
      </w:r>
      <w:r>
        <w:rPr>
          <w:b/>
          <w:bCs/>
          <w:rtl w:val="true"/>
          <w:lang w:eastAsia="he-IL"/>
        </w:rPr>
        <w:t>..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להתגלגל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וכדברי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מחזה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שבמערכתו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עשוי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'..."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b/>
          <w:bCs/>
          <w:sz w:val="12"/>
          <w:szCs w:val="12"/>
          <w:lang w:eastAsia="he-IL"/>
        </w:rPr>
      </w:pPr>
      <w:r>
        <w:rPr>
          <w:rFonts w:cs="Calibri" w:ascii="Calibri" w:hAnsi="Calibri"/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color w:val="FF0000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מיום מעצרו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</w:t>
      </w:r>
      <w:r>
        <w:rPr>
          <w:rFonts w:ascii="Calibri" w:hAnsi="Calibri" w:cs="Calibri"/>
          <w:rtl w:val="true"/>
        </w:rPr>
        <w:t>תי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A028 Extrabold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54615-03-16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אכרם מוסטפה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85" w:hanging="360"/>
      </w:pPr>
      <w:rPr>
        <w:sz w:val="24"/>
        <w:b w:val="false"/>
        <w:szCs w:val="24"/>
        <w:bCs w:val="false"/>
        <w:rFonts w:cs="Times New Roman"/>
        <w:lang w:bidi="he-IL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A028 Extrabold;Times New Roman" w:hAnsi="A028 Extrabold;Times New Roman" w:cs="David"/>
    </w:rPr>
  </w:style>
  <w:style w:type="character" w:styleId="WW8Num8z2">
    <w:name w:val="WW8Num8z2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2z0">
    <w:name w:val="WW8Num12z0"/>
    <w:qFormat/>
    <w:rPr>
      <w:rFonts w:cs="Times New Roman"/>
      <w:b w:val="false"/>
      <w:bCs w:val="false"/>
      <w:sz w:val="24"/>
      <w:szCs w:val="24"/>
      <w:lang w:bidi="he-IL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  <w:b w:val="false"/>
      <w:bCs w:val="false"/>
      <w:sz w:val="24"/>
      <w:szCs w:val="24"/>
    </w:rPr>
  </w:style>
  <w:style w:type="character" w:styleId="WW8Num13z1">
    <w:name w:val="WW8Num1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699080" TargetMode="External"/><Relationship Id="rId14" Type="http://schemas.openxmlformats.org/officeDocument/2006/relationships/hyperlink" Target="http://www.nevo.co.il/case/13023134" TargetMode="External"/><Relationship Id="rId15" Type="http://schemas.openxmlformats.org/officeDocument/2006/relationships/hyperlink" Target="http://www.nevo.co.il/case/8471804" TargetMode="External"/><Relationship Id="rId16" Type="http://schemas.openxmlformats.org/officeDocument/2006/relationships/hyperlink" Target="http://www.nevo.co.il/case/20775010" TargetMode="External"/><Relationship Id="rId17" Type="http://schemas.openxmlformats.org/officeDocument/2006/relationships/hyperlink" Target="http://www.nevo.co.il/case/8291683" TargetMode="External"/><Relationship Id="rId18" Type="http://schemas.openxmlformats.org/officeDocument/2006/relationships/hyperlink" Target="http://www.nevo.co.il/case/5878682" TargetMode="External"/><Relationship Id="rId19" Type="http://schemas.openxmlformats.org/officeDocument/2006/relationships/hyperlink" Target="http://www.nevo.co.il/case/5578534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6473037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1472788" TargetMode="External"/><Relationship Id="rId25" Type="http://schemas.openxmlformats.org/officeDocument/2006/relationships/hyperlink" Target="http://www.nevo.co.il/case/22006503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1472788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8653720" TargetMode="External"/><Relationship Id="rId33" Type="http://schemas.openxmlformats.org/officeDocument/2006/relationships/hyperlink" Target="http://www.nevo.co.il/case/13090914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b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11309005" TargetMode="External"/><Relationship Id="rId39" Type="http://schemas.openxmlformats.org/officeDocument/2006/relationships/hyperlink" Target="http://www.nevo.co.il/case/6882160" TargetMode="External"/><Relationship Id="rId40" Type="http://schemas.openxmlformats.org/officeDocument/2006/relationships/hyperlink" Target="http://www.nevo.co.il/case/7791489" TargetMode="External"/><Relationship Id="rId41" Type="http://schemas.openxmlformats.org/officeDocument/2006/relationships/hyperlink" Target="http://www.nevo.co.il/case/11269745" TargetMode="External"/><Relationship Id="rId42" Type="http://schemas.openxmlformats.org/officeDocument/2006/relationships/hyperlink" Target="http://www.nevo.co.il/case/7779334" TargetMode="External"/><Relationship Id="rId43" Type="http://schemas.openxmlformats.org/officeDocument/2006/relationships/hyperlink" Target="http://www.nevo.co.il/case/20296345" TargetMode="External"/><Relationship Id="rId44" Type="http://schemas.openxmlformats.org/officeDocument/2006/relationships/hyperlink" Target="http://www.nevo.co.il/law/70301/40i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case/17954222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2017-03-19T13:19:00Z</dcterms:created>
  <dc:creator> </dc:creator>
  <dc:description/>
  <cp:keywords/>
  <dc:language>en-IL</dc:language>
  <cp:lastModifiedBy>run</cp:lastModifiedBy>
  <dcterms:modified xsi:type="dcterms:W3CDTF">2017-03-19T13:19:00Z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אכרם מוסטפה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5699080;13023134;8471804;20775010;8291683;5878682;5578534;5601503;6473037;7791493;5821327;21472788:2;22006503;18653720;13090914;11309005;6882160;7791489;11269745;7779334;20296345;17954222</vt:lpwstr>
  </property>
  <property fmtid="{D5CDD505-2E9C-101B-9397-08002B2CF9AE}" pid="9" name="CITY">
    <vt:lpwstr>י-ם</vt:lpwstr>
  </property>
  <property fmtid="{D5CDD505-2E9C-101B-9397-08002B2CF9AE}" pid="10" name="DATE">
    <vt:lpwstr>20170314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70301/144.b2:4;040b;144.a;144.b;040i;40ja</vt:lpwstr>
  </property>
  <property fmtid="{D5CDD505-2E9C-101B-9397-08002B2CF9AE}" pid="15" name="LAWYER">
    <vt:lpwstr>כריסטיאן דיק;מוחמד מחמוד;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54615</vt:lpwstr>
  </property>
  <property fmtid="{D5CDD505-2E9C-101B-9397-08002B2CF9AE}" pid="22" name="NEWPARTB">
    <vt:lpwstr>03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390020170314</vt:lpwstr>
  </property>
  <property fmtid="{D5CDD505-2E9C-101B-9397-08002B2CF9AE}" pid="34" name="TYPE_N_DATE">
    <vt:lpwstr>39020170314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