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709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David" w:hAnsi="David" w:cs="David"/>
                <w:b/>
                <w:bCs/>
                <w:color w:val="000080"/>
                <w:sz w:val="28"/>
                <w:szCs w:val="28"/>
              </w:rPr>
            </w:pPr>
            <w:bookmarkStart w:id="0" w:name="LastJudge"/>
            <w:bookmarkEnd w:id="0"/>
            <w:r>
              <w:rPr>
                <w:rFonts w:ascii="David" w:hAnsi="David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בית המשפט המחוזי בירושלים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ascii="David" w:hAnsi="David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לפני כב</w:t>
            </w:r>
            <w:r>
              <w:rPr>
                <w:rFonts w:cs="David" w:ascii="David" w:hAnsi="David"/>
                <w:b/>
                <w:bCs/>
                <w:color w:val="000080"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השופט אברהם רובין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</w:rPr>
              <w:t>54653-03-21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>איסקוב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) </w:t>
            </w:r>
            <w:r>
              <w:rPr>
                <w:rFonts w:ascii="David" w:hAnsi="David"/>
                <w:b/>
                <w:b/>
                <w:bCs/>
                <w:rtl w:val="true"/>
              </w:rPr>
              <w:t>ואח</w:t>
            </w:r>
            <w:r>
              <w:rPr>
                <w:rFonts w:cs="David" w:ascii="David" w:hAnsi="David"/>
                <w:b/>
                <w:bCs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ascii="David" w:hAnsi="David" w:cs="FrankRuehl"/>
                <w:b/>
                <w:bCs/>
                <w:sz w:val="28"/>
                <w:szCs w:val="28"/>
              </w:rPr>
            </w:pPr>
            <w:r>
              <w:rPr>
                <w:rFonts w:cs="FrankRuehl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1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שי איסקוב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2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לידור אלפאסי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2" w:name="PsakDin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גזר </w:t>
            </w:r>
            <w:bookmarkEnd w:id="2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דין בעניינו של נאשם 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</w:rPr>
              <w:t>2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  <w:bookmarkStart w:id="3" w:name="ABSTRACT_START"/>
      <w:bookmarkStart w:id="4" w:name="ABSTRACT_START"/>
      <w:bookmarkEnd w:id="4"/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הנאשם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(</w:t>
      </w:r>
      <w:r>
        <w:rPr>
          <w:rFonts w:ascii="David" w:hAnsi="David"/>
          <w:sz w:val="26"/>
          <w:sz w:val="26"/>
          <w:szCs w:val="26"/>
          <w:rtl w:val="true"/>
        </w:rPr>
        <w:t>להלן</w:t>
      </w:r>
      <w:r>
        <w:rPr>
          <w:rFonts w:cs="David" w:ascii="David" w:hAnsi="David"/>
          <w:sz w:val="26"/>
          <w:szCs w:val="26"/>
          <w:rtl w:val="true"/>
        </w:rPr>
        <w:t>: 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David" w:ascii="David" w:hAnsi="David"/>
          <w:sz w:val="26"/>
          <w:szCs w:val="26"/>
          <w:rtl w:val="true"/>
        </w:rPr>
        <w:t xml:space="preserve">"), </w:t>
      </w:r>
      <w:r>
        <w:rPr>
          <w:rFonts w:ascii="David" w:hAnsi="David"/>
          <w:sz w:val="26"/>
          <w:sz w:val="26"/>
          <w:szCs w:val="26"/>
          <w:rtl w:val="true"/>
        </w:rPr>
        <w:t>הורשע על יסוד הודאתו במסגרת הסדר טיעון סגור בעובדות כתב האישום המתוקן ובעובדות כתב אישום שצורף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בביצוע עבירות של חבלה חמורה בנסיבות מחמירות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החזקת סכין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איומים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ותקיפת עובד ציבור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bookmarkStart w:id="5" w:name="ABSTRACT_END"/>
      <w:bookmarkEnd w:id="5"/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הצדדים הסכימו כי בגין כתב האישום ב</w:t>
      </w:r>
      <w:hyperlink r:id="rId2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54653-03-21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(</w:t>
      </w:r>
      <w:r>
        <w:rPr>
          <w:rFonts w:ascii="David" w:hAnsi="David"/>
          <w:sz w:val="26"/>
          <w:sz w:val="26"/>
          <w:szCs w:val="26"/>
          <w:rtl w:val="true"/>
        </w:rPr>
        <w:t>להלן</w:t>
      </w:r>
      <w:r>
        <w:rPr>
          <w:rFonts w:cs="David" w:ascii="David" w:hAnsi="David"/>
          <w:sz w:val="26"/>
          <w:szCs w:val="26"/>
          <w:rtl w:val="true"/>
        </w:rPr>
        <w:t>: 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כתב האישום שלפניי</w:t>
      </w:r>
      <w:r>
        <w:rPr>
          <w:rFonts w:cs="David" w:ascii="David" w:hAnsi="David"/>
          <w:sz w:val="26"/>
          <w:szCs w:val="26"/>
          <w:rtl w:val="true"/>
        </w:rPr>
        <w:t xml:space="preserve">"), </w:t>
      </w:r>
      <w:r>
        <w:rPr>
          <w:rFonts w:ascii="David" w:hAnsi="David"/>
          <w:sz w:val="26"/>
          <w:sz w:val="26"/>
          <w:szCs w:val="26"/>
          <w:rtl w:val="true"/>
        </w:rPr>
        <w:t xml:space="preserve">ייגזר על הנאשם עונש של </w:t>
      </w:r>
      <w:r>
        <w:rPr>
          <w:rFonts w:cs="David" w:ascii="David" w:hAnsi="David"/>
          <w:sz w:val="26"/>
          <w:szCs w:val="26"/>
        </w:rPr>
        <w:t>42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הכולל מאסרים מותנים שיופעלו חלקם במצטבר וחלקם בחופף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כמו כן הסכימו הצדדים כי בגין כתב האישום המצורף </w:t>
      </w:r>
      <w:r>
        <w:rPr>
          <w:rFonts w:cs="David" w:ascii="David" w:hAnsi="David"/>
          <w:sz w:val="26"/>
          <w:szCs w:val="26"/>
          <w:rtl w:val="true"/>
        </w:rPr>
        <w:t>(</w:t>
      </w:r>
      <w:hyperlink r:id="rId3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.(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שלום טבריה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10034-03-21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), </w:t>
      </w:r>
      <w:r>
        <w:rPr>
          <w:rFonts w:ascii="David" w:hAnsi="David"/>
          <w:sz w:val="26"/>
          <w:sz w:val="26"/>
          <w:szCs w:val="26"/>
          <w:rtl w:val="true"/>
        </w:rPr>
        <w:t xml:space="preserve">ייגזר על הנאשם עונש מאסר בפועל לתקופה של </w:t>
      </w:r>
      <w:r>
        <w:rPr>
          <w:rFonts w:cs="David" w:ascii="David" w:hAnsi="David"/>
          <w:sz w:val="26"/>
          <w:szCs w:val="26"/>
        </w:rPr>
        <w:t>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חודשים ו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שבועות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הכולל מאסרים מותנים שיופעלו חלקם במצטבר וחלקם בחופף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הצדדים גם הסכימו כי בנוסף לעונשי המאסר בפועל ייגזרו על הנאשם עונשי מאסר על תנאי וכן פיצוי למתלונן בכתב האישום שלפניי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לפי שיקול דעת בית המשפט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cs="David" w:ascii="David" w:hAnsi="David"/>
          <w:sz w:val="26"/>
          <w:szCs w:val="26"/>
          <w:rtl w:val="true"/>
        </w:rPr>
        <w:tab/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המאשימה נימקה את הסדר הטיעון בכך שהנאשם הודה ונטל אחריות על מעשיו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ובכך חסך מזמנו של בית המשפט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לעניין הפיצוי למתלונן הדגישה באת כוח המאשימה כי הגם שהמתלונן ויתר על זכותו להגיש הצהרת נפגע עבירה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הרי שאין מחלוקת שהוא נפגע כתוצאה מהעבירה שבוצעה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ונגרמו לו נזקי גוף כמפורט בכתב האישום המתוקן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באת כוח הנאשם ביקשה להצטרף לטיעוניה של באת כוח המאשימה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ובנוסף היא ביקשה שבית המשפט ייתן דעתו לקושי של הנאשם לשלם פיצוי גבוה לנפגע העבירה בשעה שהוא מרצה עונש 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באת כוח הנאשם גם הפנתה לכך שלא כל החתכים שנגרמו לנפגע העבירה הצריכו טיפול על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/>
          <w:sz w:val="26"/>
          <w:sz w:val="26"/>
          <w:szCs w:val="26"/>
          <w:rtl w:val="true"/>
        </w:rPr>
        <w:t>ידי תפרים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ולבסוף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באת כוח הנאשם טענה כי ראוי שעונשי המאסר המותנה לא יהיו ארוכים מדי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לאחר ששמעתי את טיעוני הצדדים ועיינתי בחומר שהוגש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אני סבור שהעונש המוסכם סביר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העונש תואם את נסיבות ביצוע העבירה ואת הנסיבות שאינן קשורות בביצוע העבירה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אין ספק שהעבירה שבוצעה בתיק שלפניי היא עבירה חמורה באשר מדובר בתקיפה בצוותא של נפגע העבירה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תוך שהנאשם עשה שימוש בסכין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העונש המוסכם שכולל רכיב משמעותי של מאסר בפועל תואם את נסיבות ביצוע העבירה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והוא מהווה עונש הולם גם לאחר שמביאים בחשבון את העובדה שלנאשם עבר פלילי מכביד בעבירות סמים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אלימות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ורכוש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כאמור בטיעוני הצדדים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בצד הנסיבות החמורות של ביצוע העבירה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יש להביא בחשבון לקולא את הודאתו של הנאשם שחסכה מזמנה של המאשימה ומזמנו של בית המשפט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ואת קבלת האחריות מצדו של הנאשם על מעשיו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  <w:tab/>
      </w:r>
      <w:r>
        <w:rPr>
          <w:rFonts w:ascii="David" w:hAnsi="David"/>
          <w:sz w:val="26"/>
          <w:sz w:val="26"/>
          <w:szCs w:val="26"/>
          <w:rtl w:val="true"/>
        </w:rPr>
        <w:t>אשר לעונשי המאסר המותנה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מקובלת עליי במידה מסוימת טענת באת כוח הנאשם לפיה אין לקבוע עונשי מאסר מותנה מכבידים מדי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זאת בין היתר לנוכח עונש המאסר בפועל המשמעותי למדיי שעליו הסכימו הצדדים בתיק שלפניי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5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לאור כל האמור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אני מאמץ את הסדר הטיעון אליו הגיעו הצדדים וגוזר על הנאשם את העונשים שלהלן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בגין </w:t>
      </w:r>
      <w:hyperlink r:id="rId4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54653-03-21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–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  <w:tab/>
      </w:r>
      <w:r>
        <w:rPr>
          <w:rFonts w:ascii="David" w:hAnsi="David"/>
          <w:sz w:val="26"/>
          <w:sz w:val="26"/>
          <w:szCs w:val="26"/>
          <w:rtl w:val="true"/>
        </w:rPr>
        <w:t>א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cs="David" w:ascii="David" w:hAnsi="David"/>
          <w:sz w:val="26"/>
          <w:szCs w:val="26"/>
        </w:rPr>
        <w:t>36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 בניכוי ימי מעצרו של הנאשם לפי רישומי שב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 xml:space="preserve">ס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  <w:tab/>
        <w:tab/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/>
          <w:sz w:val="26"/>
          <w:sz w:val="26"/>
          <w:szCs w:val="26"/>
          <w:rtl w:val="true"/>
        </w:rPr>
        <w:t xml:space="preserve">הנאשם עצור מיום </w:t>
      </w:r>
      <w:r>
        <w:rPr>
          <w:rFonts w:cs="David" w:ascii="David" w:hAnsi="David"/>
          <w:sz w:val="26"/>
          <w:szCs w:val="26"/>
        </w:rPr>
        <w:t>18.3.21</w:t>
      </w:r>
      <w:r>
        <w:rPr>
          <w:rFonts w:cs="David" w:ascii="David" w:hAnsi="David"/>
          <w:sz w:val="26"/>
          <w:szCs w:val="26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  <w:tab/>
      </w: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אני מורה על הפעלת עונש של </w:t>
      </w:r>
      <w:r>
        <w:rPr>
          <w:rFonts w:cs="David" w:ascii="David" w:hAnsi="David"/>
          <w:sz w:val="26"/>
          <w:szCs w:val="26"/>
        </w:rPr>
        <w:t>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על תנאי שנגזר על הנאשם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</w:t>
      </w:r>
      <w:hyperlink r:id="rId5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. 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שלום ב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19373-09-18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באופן שחודשיים ירוצו בחופף לעונש בתיק שלפניי ו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חודשים ירצה הנאשם במצטבר לעונש בתיק שלפניי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ג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אני מורה על הפעלת עונש של </w:t>
      </w: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על תנאי אשר נגזר על הנאשם ב</w:t>
      </w:r>
      <w:hyperlink r:id="rId6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. 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שלום ב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15127-08-19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+ </w:t>
      </w:r>
      <w:r>
        <w:rPr>
          <w:rFonts w:cs="David" w:ascii="David" w:hAnsi="David"/>
          <w:sz w:val="26"/>
          <w:szCs w:val="26"/>
        </w:rPr>
        <w:t>71226-12-19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עונש זה יופעל כולו בחופף לעונש שנגזר על הנאשם בתיק שלפניי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ד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cs="David" w:ascii="David" w:hAnsi="David"/>
          <w:sz w:val="26"/>
          <w:szCs w:val="26"/>
        </w:rPr>
        <w:t>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חודשי מאסר על תנאי אותם ירצה הנאשם בפועל אם בתוך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שנים מיום שחרורו מהכלא הוא יעבור עבירת אלימות נגד הגוף מסוג פשע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לרבות עבירה של תקיפת עובד ציבור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חודשי מאסר על תנאי אותם ירצה הנאשם בפועל אם בתוך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שנים מיום שחרורו מהכלא הוא יעבור עבירה של החזקת סכין שלא כדין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ה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הנאשם יפצה את נפגע העבירה בסכום של </w:t>
      </w:r>
      <w:r>
        <w:rPr>
          <w:rFonts w:cs="David" w:ascii="David" w:hAnsi="David"/>
          <w:sz w:val="26"/>
          <w:szCs w:val="26"/>
        </w:rPr>
        <w:t>6,000</w:t>
      </w:r>
      <w:r>
        <w:rPr>
          <w:rFonts w:cs="David" w:ascii="David" w:hAnsi="David"/>
          <w:sz w:val="26"/>
          <w:szCs w:val="26"/>
          <w:rtl w:val="true"/>
        </w:rPr>
        <w:t xml:space="preserve"> ₪. </w:t>
      </w:r>
      <w:r>
        <w:rPr>
          <w:rFonts w:ascii="David" w:hAnsi="David"/>
          <w:sz w:val="26"/>
          <w:sz w:val="26"/>
          <w:szCs w:val="26"/>
          <w:rtl w:val="true"/>
        </w:rPr>
        <w:t>סכום הפיצוי ישולם ב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תשלומים חודשיים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שווים ורצופים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החל מיום </w:t>
      </w:r>
      <w:r>
        <w:rPr>
          <w:rFonts w:cs="David" w:ascii="David" w:hAnsi="David"/>
          <w:sz w:val="26"/>
          <w:szCs w:val="26"/>
        </w:rPr>
        <w:t>1.6.22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וב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בכל חודש בחודשים שלאחר מכן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אי ביצוע של אחד התשלומים במלואו ובמועד יעמיד לפירעון מידי את מלוא סכום הפיצוי שטרם נפרע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sz w:val="26"/>
          <w:sz w:val="26"/>
          <w:szCs w:val="26"/>
          <w:rtl w:val="true"/>
        </w:rPr>
        <w:t xml:space="preserve">בגין </w:t>
      </w:r>
      <w:hyperlink r:id="rId7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. 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שלום טבריה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10034-03-21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–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א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מאסר בפועל לתקופה של  חודשיים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חודשים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/>
          <w:sz w:val="26"/>
          <w:sz w:val="26"/>
          <w:szCs w:val="26"/>
          <w:rtl w:val="true"/>
        </w:rPr>
        <w:t>ושלושה שבועות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אני מורה על הפעלת עונש של ארבעה חודשי מאסר על תנאי שנגזר על הנאשם ב</w:t>
      </w:r>
      <w:hyperlink r:id="rId8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. 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שלום ב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19373-09-18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באופן שחודש אחד יופעל בחופף לעונש שנגזר על הנאשם כאמור בסעיף א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/>
          <w:sz w:val="26"/>
          <w:sz w:val="26"/>
          <w:szCs w:val="26"/>
          <w:rtl w:val="true"/>
        </w:rPr>
        <w:t>לעיל ו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חודשים יופעלו במצטבר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ג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cs="David" w:ascii="David" w:hAnsi="David"/>
          <w:sz w:val="26"/>
          <w:szCs w:val="26"/>
        </w:rPr>
        <w:t>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חודשי מאסר על תנאי אותם ירצה הנאשם בפועל אם בתוך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שנים מיום שחרורו מהכלא הוא יעבור עבירת אלימות מסוג פשע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וחודש אחד של מאסר על תנאי אותו ירצה הנאשם בפועל אם בתוך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שנים מיום שחרורו מהכלא הוא יעבור עבירה של איומים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מובהר בזאת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כי עונש המאסר המותנה בגין עבירת אלימות מסוג פשע חופף לעונש המותנה הזהה שנגזר לעיל בגין כתב האישום שלפניי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כך שאם הנאשם יבצע חלילה עבירת אלימות כאמור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הוא ירצה </w:t>
      </w:r>
      <w:r>
        <w:rPr>
          <w:rFonts w:cs="David" w:ascii="David" w:hAnsi="David"/>
          <w:sz w:val="26"/>
          <w:szCs w:val="26"/>
        </w:rPr>
        <w:t>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חודשי מאסר בפועל ולא </w:t>
      </w:r>
      <w:r>
        <w:rPr>
          <w:rFonts w:cs="David" w:ascii="David" w:hAnsi="David"/>
          <w:sz w:val="26"/>
          <w:szCs w:val="26"/>
        </w:rPr>
        <w:t>10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לסיכום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ולמען הסדר הטוב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מובהר בזאת שבסך הכל מצטברים כל העונשים שנגזרו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על הנאשם לרבות הפעלת המאסרים המותנים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לתקופה של </w:t>
      </w:r>
      <w:r>
        <w:rPr>
          <w:rFonts w:cs="David" w:ascii="David" w:hAnsi="David"/>
          <w:sz w:val="26"/>
          <w:szCs w:val="26"/>
        </w:rPr>
        <w:t>47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חודשים ו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שבועות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לריצוי בפועל בניכוי ימי מעצרו של הנאשם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ascii="David" w:hAnsi="David"/>
          <w:sz w:val="26"/>
          <w:sz w:val="26"/>
          <w:szCs w:val="26"/>
          <w:rtl w:val="true"/>
        </w:rPr>
        <w:t xml:space="preserve">הודע לנאשם על זכותו לערער לבית המשפט העליון בתוך </w:t>
      </w:r>
      <w:r>
        <w:rPr>
          <w:rFonts w:cs="David" w:ascii="David" w:hAnsi="David"/>
          <w:sz w:val="26"/>
          <w:szCs w:val="26"/>
        </w:rPr>
        <w:t>45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יום</w:t>
      </w:r>
      <w:r>
        <w:rPr>
          <w:rFonts w:cs="David" w:ascii="David" w:hAnsi="David"/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bookmarkStart w:id="6" w:name="Nitan"/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ט חשוון תשפ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cs="David" w:ascii="David" w:hAnsi="David"/>
          <w:b/>
          <w:bCs/>
          <w:sz w:val="26"/>
          <w:szCs w:val="26"/>
        </w:rPr>
        <w:t>04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נובמבר </w:t>
      </w:r>
      <w:r>
        <w:rPr>
          <w:rFonts w:cs="David" w:ascii="David" w:hAnsi="David"/>
          <w:b/>
          <w:bCs/>
          <w:sz w:val="26"/>
          <w:szCs w:val="26"/>
        </w:rPr>
        <w:t>2021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. </w:t>
      </w:r>
      <w:bookmarkEnd w:id="6"/>
    </w:p>
    <w:p>
      <w:pPr>
        <w:pStyle w:val="Normal"/>
        <w:ind w:end="0"/>
        <w:jc w:val="center"/>
        <w:rPr>
          <w:rFonts w:ascii="David" w:hAnsi="David" w:cs="David"/>
          <w:b/>
          <w:bCs/>
          <w:sz w:val="26"/>
          <w:szCs w:val="26"/>
        </w:rPr>
      </w:pPr>
      <w:r>
        <w:rPr>
          <w:rFonts w:eastAsia="David" w:cs="David" w:ascii="David" w:hAnsi="David"/>
          <w:b/>
          <w:bCs/>
          <w:sz w:val="26"/>
          <w:szCs w:val="26"/>
          <w:rtl w:val="true"/>
        </w:rPr>
        <w:t xml:space="preserve">   </w:t>
      </w:r>
      <w:r>
        <w:rPr>
          <w:rFonts w:cs="David" w:ascii="David" w:hAnsi="David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בית המשפט המחוזי בירושלים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0"/>
      <w:footerReference w:type="default" r:id="rId1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54653-03-21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שי איסקוב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7500498" TargetMode="External"/><Relationship Id="rId3" Type="http://schemas.openxmlformats.org/officeDocument/2006/relationships/hyperlink" Target="http://www.nevo.co.il/case/27448350" TargetMode="External"/><Relationship Id="rId4" Type="http://schemas.openxmlformats.org/officeDocument/2006/relationships/hyperlink" Target="http://www.nevo.co.il/case/27500498" TargetMode="External"/><Relationship Id="rId5" Type="http://schemas.openxmlformats.org/officeDocument/2006/relationships/hyperlink" Target="http://www.nevo.co.il/case/24980387" TargetMode="External"/><Relationship Id="rId6" Type="http://schemas.openxmlformats.org/officeDocument/2006/relationships/hyperlink" Target="http://www.nevo.co.il/case/25934073" TargetMode="External"/><Relationship Id="rId7" Type="http://schemas.openxmlformats.org/officeDocument/2006/relationships/hyperlink" Target="http://www.nevo.co.il/case/27448350" TargetMode="External"/><Relationship Id="rId8" Type="http://schemas.openxmlformats.org/officeDocument/2006/relationships/hyperlink" Target="http://www.nevo.co.il/case/24980387" TargetMode="External"/><Relationship Id="rId9" Type="http://schemas.openxmlformats.org/officeDocument/2006/relationships/hyperlink" Target="http://www.nevo.co.il/advertisements/nevo-100.doc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2022-11-20T12:32:00Z</dcterms:created>
  <dc:creator> </dc:creator>
  <dc:description/>
  <cp:keywords/>
  <dc:language>en-IL</dc:language>
  <cp:lastModifiedBy>h1</cp:lastModifiedBy>
  <dcterms:modified xsi:type="dcterms:W3CDTF">2022-11-20T12:32:00Z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שי איסקוב;לידור אלפאסי</vt:lpwstr>
  </property>
  <property fmtid="{D5CDD505-2E9C-101B-9397-08002B2CF9AE}" pid="4" name="CASESLISTTMP1">
    <vt:lpwstr>27500498:2;27448350:2;24980387:2;25934073</vt:lpwstr>
  </property>
  <property fmtid="{D5CDD505-2E9C-101B-9397-08002B2CF9AE}" pid="5" name="CITY">
    <vt:lpwstr>י-ם</vt:lpwstr>
  </property>
  <property fmtid="{D5CDD505-2E9C-101B-9397-08002B2CF9AE}" pid="6" name="DATE">
    <vt:lpwstr>20211104</vt:lpwstr>
  </property>
  <property fmtid="{D5CDD505-2E9C-101B-9397-08002B2CF9AE}" pid="7" name="ISABSTRACT">
    <vt:lpwstr>Y</vt:lpwstr>
  </property>
  <property fmtid="{D5CDD505-2E9C-101B-9397-08002B2CF9AE}" pid="8" name="JUDGE">
    <vt:lpwstr>בית המשפט המחוזי בירושלים;אברהם רובין</vt:lpwstr>
  </property>
  <property fmtid="{D5CDD505-2E9C-101B-9397-08002B2CF9AE}" pid="9" name="NEWPARTA">
    <vt:lpwstr>54653</vt:lpwstr>
  </property>
  <property fmtid="{D5CDD505-2E9C-101B-9397-08002B2CF9AE}" pid="10" name="NEWPARTB">
    <vt:lpwstr>03</vt:lpwstr>
  </property>
  <property fmtid="{D5CDD505-2E9C-101B-9397-08002B2CF9AE}" pid="11" name="NEWPARTC">
    <vt:lpwstr>21</vt:lpwstr>
  </property>
  <property fmtid="{D5CDD505-2E9C-101B-9397-08002B2CF9AE}" pid="12" name="NEWPROC">
    <vt:lpwstr>תפ</vt:lpwstr>
  </property>
  <property fmtid="{D5CDD505-2E9C-101B-9397-08002B2CF9AE}" pid="13" name="PSAKDIN">
    <vt:lpwstr>גזר-דין</vt:lpwstr>
  </property>
  <property fmtid="{D5CDD505-2E9C-101B-9397-08002B2CF9AE}" pid="14" name="TYPE">
    <vt:lpwstr>2</vt:lpwstr>
  </property>
  <property fmtid="{D5CDD505-2E9C-101B-9397-08002B2CF9AE}" pid="15" name="TYPE_ABS_DATE">
    <vt:lpwstr>390020211104</vt:lpwstr>
  </property>
  <property fmtid="{D5CDD505-2E9C-101B-9397-08002B2CF9AE}" pid="16" name="TYPE_N_DATE">
    <vt:lpwstr>39020211104</vt:lpwstr>
  </property>
  <property fmtid="{D5CDD505-2E9C-101B-9397-08002B2CF9AE}" pid="17" name="WORDNUMPAGES">
    <vt:lpwstr>4</vt:lpwstr>
  </property>
</Properties>
</file>