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54719-09-20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לאית מסארוה –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שטרצר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bookmarkStart w:id="9" w:name="ABSTRACT_START"/>
      <w:bookmarkEnd w:id="9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bookmarkStart w:id="10" w:name="ABSTRACT_END"/>
      <w:bookmarkEnd w:id="10"/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31.7.19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16:45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לרדוף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ולאוזקו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האזוקה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לשריטה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מאחיזת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28.2.22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נחשף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בבגרותו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התרופפות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ריגוש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מאופיין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מגובשים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ומשברי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הקפיד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המפגשים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ומחויבות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להתדרדרות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והשלכותיו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ההתדרדרות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בהתייחסו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הבעייתית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הכחשתו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ולהשלכותיהן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שמאפיין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ובהקמת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ובקשריו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בריגוש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ולהשלכותיה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מתפקודו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ליכולותיו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מושרשים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הבולטים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מערכות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הפרמטרים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שילוב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ובנפש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הנכבדים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ההנחיות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ותיקוני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העדכניים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אינדיווידואלי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13-14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הסתבכויות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וההפנמה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והפחתת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הדרושות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הלקח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להתחתן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pacing w:val="10"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סעיף </w:t>
      </w:r>
      <w:r>
        <w:rPr>
          <w:rFonts w:cs="David" w:ascii="David" w:hAnsi="David"/>
          <w:b/>
          <w:bCs/>
          <w:spacing w:val="10"/>
          <w:sz w:val="26"/>
          <w:szCs w:val="26"/>
        </w:rPr>
        <w:t>144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)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ל</w:t>
      </w:r>
      <w:hyperlink r:id="rId7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 אוסר על נשיאה או הובלה של כלי נשק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, "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בלא רשות על פי דין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".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האיסור נועד להגן על ערך חיי האדם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שלמות גופו ונפשו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כמו גם לקדם את השמירה על הסדר הציבורי ואורח חיים תקין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שלו ובטוח 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(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147/21</w:t>
        </w:r>
      </w:hyperlink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ביטון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6"/>
          <w:szCs w:val="26"/>
        </w:rPr>
        <w:t>7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pacing w:val="10"/>
          <w:sz w:val="26"/>
          <w:szCs w:val="26"/>
        </w:rPr>
        <w:t>14.02.21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) (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עניין ביטון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); 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8017/20</w:t>
        </w:r>
      </w:hyperlink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גריפאת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6"/>
          <w:szCs w:val="26"/>
        </w:rPr>
        <w:t>6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pacing w:val="10"/>
          <w:sz w:val="26"/>
          <w:szCs w:val="26"/>
        </w:rPr>
        <w:t>22.02.20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) (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עניין גריפאת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)).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עבירה זו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כמו יתר עבירות הנשק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נועדה למנוע התנהגות מסוכנת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ולמזער את הפוטנציאל לגרימת נזקים חמורים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אכן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נשיאה והובלה של כלי נשק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הריהי לעיתים רק הסנונית הראשונה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בואכה מעשים חמורים יותר – חבלה חמורה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שוד מזוין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רצח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וכיוצא באלה 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(</w:t>
      </w:r>
      <w:hyperlink r:id="rId10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4406/19</w:t>
        </w:r>
      </w:hyperlink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סובח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פסק דינו של השופט מ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מזוז 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(</w:t>
      </w:r>
      <w:r>
        <w:rPr>
          <w:rFonts w:cs="David" w:ascii="David" w:hAnsi="David"/>
          <w:b/>
          <w:bCs/>
          <w:spacing w:val="10"/>
          <w:sz w:val="26"/>
          <w:szCs w:val="26"/>
        </w:rPr>
        <w:t>05.11.19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); 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116/13</w:t>
        </w:r>
      </w:hyperlink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וקנין נ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6"/>
          <w:szCs w:val="26"/>
        </w:rPr>
        <w:t>7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pacing w:val="10"/>
          <w:sz w:val="26"/>
          <w:szCs w:val="26"/>
        </w:rPr>
        <w:t>31.07.13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)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).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לא אחת צוין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כי למרבה הצער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חרף האיסור שבדין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הפכה תופעת השימוש בנשק חם למכת מדינה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בעקבות זאת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לשם הרתעה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ניכרת בפסיקה מגמה של החמרה הדרגתית בענישה על עבירות הנשק 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(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sz w:val="26"/>
            <w:szCs w:val="26"/>
            <w:u w:val="single"/>
          </w:rPr>
          <w:t>5807/20</w:t>
        </w:r>
      </w:hyperlink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שיבלי נ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6"/>
          <w:szCs w:val="26"/>
        </w:rPr>
        <w:t>8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pacing w:val="10"/>
          <w:sz w:val="26"/>
          <w:szCs w:val="26"/>
        </w:rPr>
        <w:t>30.12.20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) (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עניין שיבלי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);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עניין ביטון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6"/>
          <w:szCs w:val="26"/>
        </w:rPr>
        <w:t>7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;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עניין גריפאת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  <w:sz w:val="26"/>
          <w:szCs w:val="26"/>
        </w:rPr>
        <w:t>6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);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 xml:space="preserve">לעיתים 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השעה צריכה לכך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" (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בבלי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סנהדרין מו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ע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).</w:t>
      </w:r>
      <w:r>
        <w:rPr>
          <w:rFonts w:cs="David" w:ascii="David" w:hAnsi="David"/>
          <w:spacing w:val="10"/>
          <w:sz w:val="26"/>
          <w:szCs w:val="26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דבריו אלה של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 xml:space="preserve">השופט סולברג מתוך פסק הדין </w:t>
      </w:r>
      <w:r>
        <w:rPr>
          <w:rFonts w:ascii="David" w:hAnsi="David"/>
          <w:spacing w:val="10"/>
          <w:sz w:val="26"/>
          <w:sz w:val="26"/>
          <w:szCs w:val="26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6"/>
            <w:szCs w:val="26"/>
            <w:u w:val="single"/>
          </w:rPr>
          <w:t>5522/20</w:t>
        </w:r>
      </w:hyperlink>
      <w:r>
        <w:rPr>
          <w:rFonts w:cs="David" w:ascii="David" w:hAnsi="David"/>
          <w:spacing w:val="10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חלייחל נ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pacing w:val="10"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rFonts w:ascii="David" w:hAnsi="David"/>
          <w:spacing w:val="10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pacing w:val="10"/>
          <w:sz w:val="26"/>
          <w:szCs w:val="26"/>
          <w:rtl w:val="true"/>
        </w:rPr>
        <w:t>(</w:t>
      </w:r>
      <w:r>
        <w:rPr>
          <w:rFonts w:cs="David" w:ascii="David" w:hAnsi="David"/>
          <w:spacing w:val="10"/>
          <w:sz w:val="26"/>
          <w:szCs w:val="26"/>
        </w:rPr>
        <w:t>24.02.21</w:t>
      </w:r>
      <w:r>
        <w:rPr>
          <w:rFonts w:cs="David" w:ascii="David" w:hAnsi="David"/>
          <w:spacing w:val="10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מבהירים הבהר היטב את הפגיעה החמורה בערכים החברתיים הבסיסיים ביותר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שעניינם השמירה על הסדר הציבורי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שלומו ובטחונו של הציבור ועל חיי אנוש ממש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הכרוכה בביצוע עבירות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לרבות אלה שעניינן החזקה ונשיאה גרידא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מבהירים הדברים את שכיחותה של התופעה ואת ההכרח לנקוט במדיניות ענישה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ואף להעלות בהדרגה את רף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כמענה מרתיע ומציב גבול למעשים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מעשיו של הנאשם אכן בוצעו לפני למעלה משנתיים וחצי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במהלך שנת </w:t>
      </w:r>
      <w:r>
        <w:rPr>
          <w:rFonts w:cs="David" w:ascii="David" w:hAnsi="David"/>
          <w:sz w:val="26"/>
          <w:szCs w:val="26"/>
        </w:rPr>
        <w:t>2019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ולחלוף הזמן קיימת כמובן משמעות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כך שאין להחיל עליו רטרואקטיבית את מלוא תוקפה של מדיניות הענישה העדכנית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שהחמירה והוקשתה עם השנים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לתת את הדעת לכך שאותה </w:t>
      </w:r>
      <w:r>
        <w:rPr>
          <w:rFonts w:ascii="David" w:hAnsi="David"/>
          <w:sz w:val="26"/>
          <w:sz w:val="26"/>
          <w:szCs w:val="26"/>
          <w:rtl w:val="true"/>
        </w:rPr>
        <w:t xml:space="preserve">מגמת החמרה לא החלה בחודשים האחרונים </w:t>
      </w:r>
      <w:r>
        <w:rPr>
          <w:rFonts w:ascii="David" w:hAnsi="David"/>
          <w:sz w:val="26"/>
          <w:sz w:val="26"/>
          <w:szCs w:val="26"/>
          <w:rtl w:val="true"/>
        </w:rPr>
        <w:t xml:space="preserve">בלבד אלא </w:t>
      </w:r>
      <w:r>
        <w:rPr>
          <w:rFonts w:ascii="David" w:hAnsi="David"/>
          <w:sz w:val="26"/>
          <w:sz w:val="26"/>
          <w:szCs w:val="26"/>
          <w:rtl w:val="true"/>
        </w:rPr>
        <w:t>מלוו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 xml:space="preserve"> אותנו כבר מזה כעשור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העובדה שה</w:t>
      </w:r>
      <w:r>
        <w:rPr>
          <w:rFonts w:ascii="David" w:hAnsi="David"/>
          <w:sz w:val="26"/>
          <w:sz w:val="26"/>
          <w:szCs w:val="26"/>
          <w:rtl w:val="true"/>
        </w:rPr>
        <w:t>עבירה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בוצעה בשנת </w:t>
      </w:r>
      <w:r>
        <w:rPr>
          <w:rFonts w:cs="David" w:ascii="David" w:hAnsi="David"/>
          <w:sz w:val="26"/>
          <w:szCs w:val="26"/>
        </w:rPr>
        <w:t>2019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אינה גורעת מחומרת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אינה מצדיקה </w:t>
      </w:r>
      <w:r>
        <w:rPr>
          <w:rFonts w:ascii="David" w:hAnsi="David"/>
          <w:sz w:val="26"/>
          <w:sz w:val="26"/>
          <w:szCs w:val="26"/>
          <w:rtl w:val="true"/>
        </w:rPr>
        <w:t xml:space="preserve">כשלעצמה </w:t>
      </w:r>
      <w:r>
        <w:rPr>
          <w:rFonts w:ascii="David" w:hAnsi="David"/>
          <w:sz w:val="26"/>
          <w:sz w:val="26"/>
          <w:szCs w:val="26"/>
          <w:rtl w:val="true"/>
        </w:rPr>
        <w:t>הימנעות מהטלת העונש המתחייב ואינה מוציאה אות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 xml:space="preserve"> מגדרה של ההנחיה ארוכת השנים להחמיר בענישה בעבירות מעין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כפי שאף ניתן ללמוד מהפסיקה שתוצג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חלקה מתייחס לעבירות מאותה תקופה ואף מהשנים שקדמו לכך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מידת הפגיעה בערכים המוגנים</w:t>
      </w:r>
      <w:r>
        <w:rPr>
          <w:rFonts w:ascii="David" w:hAnsi="David"/>
          <w:sz w:val="26"/>
          <w:sz w:val="26"/>
          <w:szCs w:val="26"/>
          <w:rtl w:val="true"/>
        </w:rPr>
        <w:t xml:space="preserve"> מצויה במקרה זה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במדרג הבינוני</w:t>
      </w:r>
      <w:r>
        <w:rPr>
          <w:rFonts w:ascii="David" w:hAnsi="David"/>
          <w:sz w:val="26"/>
          <w:sz w:val="26"/>
          <w:szCs w:val="26"/>
          <w:rtl w:val="true"/>
        </w:rPr>
        <w:t xml:space="preserve"> של עבירות מעין אלה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אמנם בנשיאה של 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כלי נשק בעל מאפייני חומרה נוספים כרובה סער או תמ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ק מאולתר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האקדח היה טעון במחסנית ובכדורים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ואף הוסב כך שניתן לבצע בו ירי אוטומטי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האקדח היה אפוא מוכן לפעולה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ופגיעתו הפוטנציאלית עלולה הייתה להיות חמורה ביותר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התנהגותו של הנאשם כלפי השוטר מקימה במקרה זה נדבך נוסף של חומרה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אם כי עיקר הדגש כמובן הנו על עבירת הנשק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באשר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למדיניות הענישה הנוהגת</w:t>
      </w:r>
      <w:r>
        <w:rPr>
          <w:rFonts w:ascii="David" w:hAnsi="David"/>
          <w:sz w:val="26"/>
          <w:sz w:val="26"/>
          <w:szCs w:val="26"/>
          <w:rtl w:val="true"/>
        </w:rPr>
        <w:t xml:space="preserve"> בעבירה של נשיאת אקדח טעון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הרי שקיימת פסיקה ענפה המבהירה כי דינם של המורשעים בה להישלח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במקרים חריגים ביותר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לתקופת מאסר ממשית מאחורי סורג ובריח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ואפרט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2564/19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אזברגה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18.7.19</w:t>
      </w:r>
      <w:r>
        <w:rPr>
          <w:rFonts w:cs="David" w:ascii="David" w:hAnsi="David"/>
          <w:sz w:val="26"/>
          <w:szCs w:val="26"/>
          <w:rtl w:val="true"/>
        </w:rPr>
        <w:t>),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בבית המשפט המחוזי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6"/>
          <w:szCs w:val="26"/>
        </w:rPr>
        <w:t>12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40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בגין נשיאת אקדח ומחסנית תואמת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שנרכשו זמן קצר קודם לכן על ידי המערער וחברו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ברכב בו נסעו יחדיו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בחור צעיר ללא עבר 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הודה במיוחס לו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16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ובית המשפט העליון דחה את הערעור שהגיש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4215/18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טיב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8.7.18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נדחה ערעורו של נאשם אשר הורשע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 פי הודאתו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בעבירות של נשיאת נשק ותחמושת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שהה בסמטה סמוכה לחצר ביתו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כשהוא נושא על גופו אקדח טעון בארבעה 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David" w:ascii="David" w:hAnsi="David"/>
          <w:b/>
          <w:bCs/>
          <w:sz w:val="26"/>
          <w:szCs w:val="26"/>
        </w:rPr>
        <w:t>15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והנאשם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15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5765/20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אבו בכר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</w:rPr>
        <w:t>.</w:t>
      </w:r>
      <w:r>
        <w:rPr>
          <w:rFonts w:cs="David" w:ascii="David" w:hAnsi="David"/>
          <w:sz w:val="26"/>
          <w:szCs w:val="26"/>
        </w:rPr>
        <w:t>03</w:t>
      </w:r>
      <w:r>
        <w:rPr>
          <w:rFonts w:cs="David" w:ascii="David" w:hAnsi="David"/>
          <w:sz w:val="26"/>
          <w:szCs w:val="26"/>
        </w:rPr>
        <w:t>.</w:t>
      </w: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נסעו המערערים ברכב ובו נשאו והובילו שני אקדחים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ascii="David" w:hAnsi="David"/>
          <w:sz w:val="26"/>
          <w:sz w:val="26"/>
          <w:szCs w:val="26"/>
          <w:rtl w:val="true"/>
        </w:rPr>
        <w:t>שבכל אקדח מחסנית מלאה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כאשר סימנו להם שוטרים לעצור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המשיך הנהג בנסיעה קצרה ולאחר שעצר את הרכב יצא חברו מהרכב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רץ אל חצר בית סמוך והשליך שם את האקדחים והמחסניות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אף העדר עבר 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הטיל בית המשפט על כל אחד מהם </w:t>
      </w:r>
      <w:r>
        <w:rPr>
          <w:rFonts w:cs="David" w:ascii="David" w:hAnsi="David"/>
          <w:b/>
          <w:bCs/>
          <w:sz w:val="26"/>
          <w:szCs w:val="26"/>
        </w:rPr>
        <w:t>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והערעור שהגישו לבית המשפט העליון נדחה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545/20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3.5.21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נדחה ערעורו של המערער שהורשע בעבירות נשיאה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הובלה והחזקה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המערער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בעל עבר נקי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נתפס נוהג כשהוא מוביל ומחזיק אקדח חצי אוטומטי טעון במחסנית ריקה וכן מוביל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נושא ומחזיק 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כדורים בקוטר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 על גופו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David" w:ascii="David" w:hAnsi="David"/>
          <w:b/>
          <w:bCs/>
          <w:sz w:val="26"/>
          <w:szCs w:val="26"/>
        </w:rPr>
        <w:t>10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וגזר עליו </w:t>
      </w:r>
      <w:r>
        <w:rPr>
          <w:rFonts w:cs="David" w:ascii="David" w:hAnsi="David"/>
          <w:b/>
          <w:bCs/>
          <w:sz w:val="26"/>
          <w:szCs w:val="26"/>
        </w:rPr>
        <w:t>12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בפועל לצד ענישה נלווית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שהתחשב בכך שהאקדח לא היה תקין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העליון לא התערב בגזר הדין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וציין כי העונש שנגזר על הנאשם הוא על הצד המקל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2141/21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חניני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27</w:t>
      </w:r>
      <w:r>
        <w:rPr>
          <w:rFonts w:cs="David" w:ascii="David" w:hAnsi="David"/>
          <w:sz w:val="26"/>
          <w:szCs w:val="26"/>
        </w:rPr>
        <w:t>.</w:t>
      </w:r>
      <w:r>
        <w:rPr>
          <w:rFonts w:cs="David" w:ascii="David" w:hAnsi="David"/>
          <w:sz w:val="26"/>
          <w:szCs w:val="26"/>
        </w:rPr>
        <w:t>05</w:t>
      </w:r>
      <w:r>
        <w:rPr>
          <w:rFonts w:cs="David" w:ascii="David" w:hAnsi="David"/>
          <w:sz w:val="26"/>
          <w:szCs w:val="26"/>
        </w:rPr>
        <w:t>.</w:t>
      </w: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הצטייד המערער באקדח אוויר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אשר בוצעו בו שינויים שמאפשרים ירי של תחמושת בקליבר </w:t>
      </w:r>
      <w:r>
        <w:rPr>
          <w:rFonts w:cs="David" w:ascii="David" w:hAnsi="David"/>
          <w:sz w:val="26"/>
          <w:szCs w:val="26"/>
        </w:rPr>
        <w:t>7.65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 וכן בכדורים תואמים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נתפס בחצר קרובה לביתו בשעת לילה מאוחרת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כשהוא נושא את האקדח על גופו ובתוכו ארבעה 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נדון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בין היתר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b/>
          <w:bCs/>
          <w:sz w:val="26"/>
          <w:szCs w:val="26"/>
        </w:rPr>
        <w:t>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וערעורו על חומרת העונש נדחה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2892/13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עודתאללה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29.09.13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הורשע המערער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צעיר בן 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עבר 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בכך שנתפס נוהג ברכב ובו אקדח ומחסנית ריקה מכדורים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המחוזי קבע מתחם ענישה שבין שנה לשלוש שנים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וגזר עליו </w:t>
      </w:r>
      <w:r>
        <w:rPr>
          <w:rFonts w:cs="David" w:ascii="David" w:hAnsi="David"/>
          <w:b/>
          <w:bCs/>
          <w:sz w:val="26"/>
          <w:szCs w:val="26"/>
        </w:rPr>
        <w:t>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על העונש נדחה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3156/11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זראיעה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21.02.12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הסליק הנאשם ברכב בו נסע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מחסנית טעונה בכדורי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 וקופסאות עם כדורים דומים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לנאשם הרשעה קודמת יחידה מתחם אחר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גזר עליו </w:t>
      </w:r>
      <w:r>
        <w:rPr>
          <w:rFonts w:cs="David" w:ascii="David" w:hAnsi="David"/>
          <w:b/>
          <w:bCs/>
          <w:sz w:val="26"/>
          <w:szCs w:val="26"/>
        </w:rPr>
        <w:t>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על חומרת העונש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יסוד נתונים אלה קבעתי בחודשים האחרונים מספר פעמים מתחמי ענישה המבטאים את יסודות החומרה של עבירת נשיאת האקדח כשלעצמה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שימוש פלילי נוסף כלשהו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מתחמים אלה נעו סביב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-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ברף התחתון של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ועד 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ברף העליון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ראו למשל גזרי הדין בתיקים הבאים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hyperlink r:id="rId2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33544-04-20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פריג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cs="David" w:ascii="David" w:hAnsi="David"/>
          <w:sz w:val="26"/>
          <w:szCs w:val="26"/>
        </w:rPr>
        <w:t>5.10.21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פ </w:t>
      </w:r>
      <w:r>
        <w:rPr>
          <w:rFonts w:cs="David" w:ascii="David" w:hAnsi="David"/>
          <w:sz w:val="26"/>
          <w:szCs w:val="26"/>
        </w:rPr>
        <w:t>40410-04-21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אלטורי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1.11.21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hyperlink r:id="rId2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19463-05-21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קשוע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2.11.21</w:t>
      </w:r>
      <w:r>
        <w:rPr>
          <w:rFonts w:cs="David" w:ascii="David" w:hAnsi="David"/>
          <w:sz w:val="26"/>
          <w:szCs w:val="26"/>
          <w:rtl w:val="true"/>
        </w:rPr>
        <w:t>).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המקרה שלפני אינו שונה ממקבץ רחב של מקרים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ובשים לב לחלוף הזמן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אף הנתון המכביד בדבר הסבת הנשק לירי אוטומטי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אקבע גם הפעם בעניינו של הנאשם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מתחם ענישה</w:t>
      </w:r>
      <w:r>
        <w:rPr>
          <w:rFonts w:ascii="David" w:hAnsi="David"/>
          <w:sz w:val="26"/>
          <w:sz w:val="26"/>
          <w:szCs w:val="26"/>
          <w:rtl w:val="true"/>
        </w:rPr>
        <w:t xml:space="preserve"> מתון ומידתי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מקל יותר מהמתחם שצפוי היה להיקבע בגין מעשים דומים בימים אלה ממש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ואשר יעמוד על </w:t>
      </w:r>
      <w:r>
        <w:rPr>
          <w:rFonts w:cs="David" w:ascii="David" w:hAnsi="David"/>
          <w:b/>
          <w:bCs/>
          <w:sz w:val="26"/>
          <w:szCs w:val="26"/>
        </w:rPr>
        <w:t>14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b/>
          <w:bCs/>
          <w:sz w:val="26"/>
          <w:szCs w:val="26"/>
        </w:rPr>
        <w:t>36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מתמקדות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ובדפוסיו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ההודאה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והחיסכון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האפקט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ההתלבטות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האינדיווידואלית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2780/21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1.2.22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מעקביות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בהתמכרויות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הממשית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והארוכה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תקופה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פסע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השיקום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הזמן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נרתם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בהצלחה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הטיפולית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שובץ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4332/21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עאסלה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20.2.22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הגיל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הצעיר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העבר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הנקי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ואורח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החיים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הנורמטיבי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שניהל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למעצר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אך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שיתוף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הפעולה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המלא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המשטרה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בעת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המעצר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ולאחריה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הקבוצה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הטיפולית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הייעודית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נטל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חלק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האחריות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האקטיבית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שנטל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למעשים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נכונותו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ויכולתו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לבחון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פעולה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באופן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ביקורתי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ומתוך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גמישות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מחשבתית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יכולתו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להיתרם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מהמשך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ההליך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הטיפולי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לדוגמאות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מהכלל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כך למשל ב</w:t>
      </w:r>
      <w:hyperlink r:id="rId2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2826/19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מרעאנה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11.7.19</w:t>
      </w:r>
      <w:r>
        <w:rPr>
          <w:rFonts w:cs="David" w:ascii="David" w:hAnsi="David"/>
          <w:sz w:val="26"/>
          <w:szCs w:val="26"/>
          <w:rtl w:val="true"/>
        </w:rPr>
        <w:t>),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המערער </w:t>
      </w:r>
      <w:r>
        <w:rPr>
          <w:rFonts w:ascii="David" w:hAnsi="David"/>
          <w:sz w:val="26"/>
          <w:sz w:val="26"/>
          <w:szCs w:val="26"/>
          <w:rtl w:val="true"/>
        </w:rPr>
        <w:t>בעבירה של החזקת נשק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עקב כך</w:t>
      </w:r>
      <w:r>
        <w:rPr>
          <w:rFonts w:ascii="David" w:hAnsi="David"/>
          <w:sz w:val="26"/>
          <w:sz w:val="26"/>
          <w:szCs w:val="26"/>
          <w:rtl w:val="true"/>
        </w:rPr>
        <w:t xml:space="preserve"> שהחביא בביתו אקדח חצי אוטומטי טעון במחסנית ריקה וזאת לבקשת גיסו אשר חשש שהמשטרה תאתר את האקדח בביתו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6"/>
          <w:szCs w:val="26"/>
        </w:rPr>
        <w:t>9-24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והטיל על המערער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לצד 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העליון ציין כי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גזר דינו של בית משפט </w:t>
      </w:r>
      <w:r>
        <w:rPr>
          <w:rFonts w:ascii="David" w:hAnsi="David"/>
          <w:sz w:val="26"/>
          <w:sz w:val="26"/>
          <w:szCs w:val="26"/>
          <w:rtl w:val="true"/>
        </w:rPr>
        <w:t>המחוזי</w:t>
      </w:r>
      <w:r>
        <w:rPr>
          <w:rFonts w:ascii="David" w:hAnsi="David"/>
          <w:sz w:val="26"/>
          <w:sz w:val="26"/>
          <w:szCs w:val="26"/>
          <w:rtl w:val="true"/>
        </w:rPr>
        <w:t xml:space="preserve"> מתון ומאוזן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ובמצב הדברים הרגיל לא היה מקום להתערבות ערכאת ערעור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אף על פי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הוחלט לקבל את הערעור ולהשית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</w:rPr>
        <w:t>9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חודשי מאסר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עבודות שירות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וזאת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נוכח הנסיבות המיוחדת של התיק</w:t>
      </w:r>
      <w:r>
        <w:rPr>
          <w:rFonts w:cs="David" w:ascii="David" w:hAnsi="David"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המחיר האישי ששולם בגין שיתוף הפעולה עם רשויות אכיפת החוק ועקרון אחידות הענישה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887/20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29.7.20</w:t>
      </w:r>
      <w:r>
        <w:rPr>
          <w:sz w:val="26"/>
          <w:szCs w:val="26"/>
          <w:rtl w:val="true"/>
        </w:rPr>
        <w:t>),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9-24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הנקי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הגיל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הצעיר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האישיות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והתסקיר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שהוגש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אשר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הוגדר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חיובי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ביותר</w:t>
      </w:r>
      <w:r>
        <w:rPr>
          <w:sz w:val="26"/>
          <w:szCs w:val="26"/>
          <w:u w:val="single"/>
          <w:rtl w:val="true"/>
        </w:rPr>
        <w:t>".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דוגמה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3924/20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פלאח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10.12.20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וזאת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בהינתן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המיוחדות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המקרה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התסקיר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שהוגש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הגיל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הצעיר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היעדר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שהושת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השותף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למעשה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5807/20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30.12.20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שנקבע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מדובר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במקרה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חריג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שבחריגים</w:t>
      </w:r>
      <w:r>
        <w:rPr>
          <w:sz w:val="26"/>
          <w:szCs w:val="26"/>
          <w:u w:val="single"/>
          <w:rtl w:val="true"/>
        </w:rPr>
        <w:t xml:space="preserve">", </w:t>
      </w:r>
      <w:r>
        <w:rPr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ביצוע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ומצבו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האישי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הנפשי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והמשפחתי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קבוצתי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ייעודי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52256-03-20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אזברגה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12.4.22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ויוצאי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לרועץ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מאופיינ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במעורבותם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9036/18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27.1.20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start="851" w:end="851"/>
        <w:jc w:val="both"/>
        <w:rPr/>
      </w:pP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  <w:sz w:val="26"/>
          <w:szCs w:val="26"/>
        </w:rPr>
        <w:t>40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ד</w:t>
      </w:r>
      <w:r>
        <w:rPr>
          <w:rFonts w:cs="David" w:ascii="David" w:hAnsi="David"/>
          <w:b/>
          <w:bCs/>
          <w:color w:val="000000"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color w:val="000000"/>
          <w:sz w:val="26"/>
          <w:szCs w:val="26"/>
          <w:rtl w:val="true"/>
        </w:rPr>
        <w:t>)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האמור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איננו מטיל חובה על בית המשפט לחרוג ממתחם העונש ההולם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גם אם מדובר בנאשם שהשתקם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או כאשר קיים סיכוי של ממש שישתקם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אלא מדובר בסמכות שברשות בלבד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3102/14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פיסקה </w:t>
      </w:r>
      <w:r>
        <w:rPr>
          <w:rFonts w:cs="David" w:ascii="David" w:hAnsi="David"/>
          <w:b/>
          <w:bCs/>
          <w:sz w:val="26"/>
          <w:szCs w:val="26"/>
        </w:rPr>
        <w:t>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לפסק דינו של כב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השופט א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שהם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b/>
          <w:bCs/>
          <w:sz w:val="26"/>
          <w:szCs w:val="26"/>
        </w:rPr>
        <w:t>17.11.2014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)).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בעניין זה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נקבע בפסיקה כי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ככל שהעבירה בה הורשע הנאשם ונסיבותיה חמורות יותר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כך גובר הנטל המוטל על הנאשם להראות הליך שיקומי מתקדם יותר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או סיכויי שיקום מובהקים יותר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כדי להצדיק סטייה לקולא ממתחם העונש ההולם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5936/13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פלוני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פיסקה </w:t>
      </w:r>
      <w:r>
        <w:rPr>
          <w:rFonts w:cs="David" w:ascii="David" w:hAnsi="David"/>
          <w:b/>
          <w:bCs/>
          <w:sz w:val="26"/>
          <w:szCs w:val="26"/>
        </w:rPr>
        <w:t>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14.01.2015</w:t>
      </w:r>
      <w:r>
        <w:rPr>
          <w:rFonts w:cs="David" w:ascii="David" w:hAnsi="David"/>
          <w:b/>
          <w:bCs/>
          <w:sz w:val="26"/>
          <w:szCs w:val="26"/>
          <w:rtl w:val="true"/>
        </w:rPr>
        <w:t>) 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5936/13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1170/15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פיסקה </w:t>
      </w:r>
      <w:r>
        <w:rPr>
          <w:rFonts w:cs="David" w:ascii="David" w:hAnsi="David"/>
          <w:b/>
          <w:bCs/>
          <w:sz w:val="26"/>
          <w:szCs w:val="26"/>
        </w:rPr>
        <w:t>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)."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ומתעוררים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מההפחתה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מושרשים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ליכולותיו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שבתסקיר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שבחריגים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לעיל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3,000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rFonts w:eastAsia="David" w:ascii="David" w:hAnsi="David"/>
          <w:sz w:val="26"/>
          <w:szCs w:val="26"/>
          <w:rtl w:val="true"/>
        </w:rPr>
        <w:t>₪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בתוך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90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יום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rFonts w:cs="David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sz w:val="26"/>
          <w:szCs w:val="26"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העתק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יועבר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לשירות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sz w:val="26"/>
          <w:szCs w:val="26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sz w:val="26"/>
          <w:szCs w:val="26"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הנשק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ויתר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המוצגים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יחולטו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או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יושמדו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פי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שיקול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דעת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המשטרה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sz w:val="26"/>
          <w:szCs w:val="26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sz w:val="26"/>
          <w:szCs w:val="26"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Cs/>
          <w:sz w:val="26"/>
          <w:szCs w:val="26"/>
          <w:u w:val="single"/>
        </w:rPr>
        <w:t>45</w:t>
      </w:r>
      <w:r>
        <w:rPr>
          <w:rStyle w:val="normal-h"/>
          <w:b/>
          <w:bCs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rStyle w:val="normal-h"/>
          <w:rFonts w:ascii="Arial" w:hAnsi="Arial" w:cs="Arial"/>
          <w:b/>
          <w:bCs/>
          <w:sz w:val="26"/>
          <w:szCs w:val="26"/>
          <w:u w:val="single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54719-09-20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לאית מסארוה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538243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7309272" TargetMode="External"/><Relationship Id="rId9" Type="http://schemas.openxmlformats.org/officeDocument/2006/relationships/hyperlink" Target="http://www.nevo.co.il/case/27171364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5568354" TargetMode="External"/><Relationship Id="rId12" Type="http://schemas.openxmlformats.org/officeDocument/2006/relationships/hyperlink" Target="http://www.nevo.co.il/case/26934681" TargetMode="External"/><Relationship Id="rId13" Type="http://schemas.openxmlformats.org/officeDocument/2006/relationships/hyperlink" Target="http://www.nevo.co.il/case/26905927" TargetMode="External"/><Relationship Id="rId14" Type="http://schemas.openxmlformats.org/officeDocument/2006/relationships/hyperlink" Target="http://www.nevo.co.il/case/25612982" TargetMode="External"/><Relationship Id="rId15" Type="http://schemas.openxmlformats.org/officeDocument/2006/relationships/hyperlink" Target="http://www.nevo.co.il/case/24263578" TargetMode="External"/><Relationship Id="rId16" Type="http://schemas.openxmlformats.org/officeDocument/2006/relationships/hyperlink" Target="http://www.nevo.co.il/case/26931111" TargetMode="External"/><Relationship Id="rId17" Type="http://schemas.openxmlformats.org/officeDocument/2006/relationships/hyperlink" Target="http://www.nevo.co.il/case/26383419" TargetMode="External"/><Relationship Id="rId18" Type="http://schemas.openxmlformats.org/officeDocument/2006/relationships/hyperlink" Target="http://www.nevo.co.il/case/27502726" TargetMode="External"/><Relationship Id="rId19" Type="http://schemas.openxmlformats.org/officeDocument/2006/relationships/hyperlink" Target="http://www.nevo.co.il/case/6949290" TargetMode="External"/><Relationship Id="rId20" Type="http://schemas.openxmlformats.org/officeDocument/2006/relationships/hyperlink" Target="http://www.nevo.co.il/case/5878682" TargetMode="External"/><Relationship Id="rId21" Type="http://schemas.openxmlformats.org/officeDocument/2006/relationships/hyperlink" Target="http://www.nevo.co.il/case/26623868" TargetMode="External"/><Relationship Id="rId22" Type="http://schemas.openxmlformats.org/officeDocument/2006/relationships/hyperlink" Target="http://www.nevo.co.il/case/27609756" TargetMode="External"/><Relationship Id="rId23" Type="http://schemas.openxmlformats.org/officeDocument/2006/relationships/hyperlink" Target="http://www.nevo.co.il/case/27571816" TargetMode="External"/><Relationship Id="rId24" Type="http://schemas.openxmlformats.org/officeDocument/2006/relationships/hyperlink" Target="http://www.nevo.co.il/case/27721185" TargetMode="External"/><Relationship Id="rId25" Type="http://schemas.openxmlformats.org/officeDocument/2006/relationships/hyperlink" Target="http://www.nevo.co.il/case/25637368" TargetMode="External"/><Relationship Id="rId26" Type="http://schemas.openxmlformats.org/officeDocument/2006/relationships/hyperlink" Target="http://www.nevo.co.il/case/26418313" TargetMode="External"/><Relationship Id="rId27" Type="http://schemas.openxmlformats.org/officeDocument/2006/relationships/hyperlink" Target="http://www.nevo.co.il/case/26764334" TargetMode="External"/><Relationship Id="rId28" Type="http://schemas.openxmlformats.org/officeDocument/2006/relationships/hyperlink" Target="http://www.nevo.co.il/case/26934681" TargetMode="External"/><Relationship Id="rId29" Type="http://schemas.openxmlformats.org/officeDocument/2006/relationships/hyperlink" Target="http://www.nevo.co.il/case/26568237" TargetMode="External"/><Relationship Id="rId30" Type="http://schemas.openxmlformats.org/officeDocument/2006/relationships/hyperlink" Target="http://www.nevo.co.il/case/25254028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7014777" TargetMode="External"/><Relationship Id="rId33" Type="http://schemas.openxmlformats.org/officeDocument/2006/relationships/hyperlink" Target="http://www.nevo.co.il/case/10442671" TargetMode="External"/><Relationship Id="rId34" Type="http://schemas.openxmlformats.org/officeDocument/2006/relationships/hyperlink" Target="http://www.nevo.co.il/case/10442671" TargetMode="External"/><Relationship Id="rId35" Type="http://schemas.openxmlformats.org/officeDocument/2006/relationships/hyperlink" Target="http://www.nevo.co.il/case/20031943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2023-03-19T15:20:00Z</dcterms:created>
  <dc:creator> </dc:creator>
  <dc:description/>
  <cp:keywords/>
  <dc:language>en-IL</dc:language>
  <cp:lastModifiedBy>h1</cp:lastModifiedBy>
  <dcterms:modified xsi:type="dcterms:W3CDTF">2023-03-19T15:20:00Z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לאית מסארוה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25382433;27309272;27171364;25824863;5568354;26934681:2;26905927;25612982;24263578;26931111;26383419;27502726;6949290;5878682;26623868;27609756;27571816;27721185;25637368;26418313;26764334;26568237;25254028;17014777;10442671:2;20031943</vt:lpwstr>
  </property>
  <property fmtid="{D5CDD505-2E9C-101B-9397-08002B2CF9AE}" pid="9" name="CITY">
    <vt:lpwstr>מרכז</vt:lpwstr>
  </property>
  <property fmtid="{D5CDD505-2E9C-101B-9397-08002B2CF9AE}" pid="10" name="DATE">
    <vt:lpwstr>20220517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70301/144.b</vt:lpwstr>
  </property>
  <property fmtid="{D5CDD505-2E9C-101B-9397-08002B2CF9AE}" pid="15" name="LAWYER">
    <vt:lpwstr>שטרצר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54719</vt:lpwstr>
  </property>
  <property fmtid="{D5CDD505-2E9C-101B-9397-08002B2CF9AE}" pid="22" name="NEWPARTB">
    <vt:lpwstr>09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390020220517</vt:lpwstr>
  </property>
  <property fmtid="{D5CDD505-2E9C-101B-9397-08002B2CF9AE}" pid="34" name="TYPE_N_DATE">
    <vt:lpwstr>39020220517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