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5478-07-09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חנדקלו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5503-07-09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אהוד קפלן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עזאת חנדקלו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גלעד תלמי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הנאשמים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אבו עסאבה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הודייתו והעבירות המיוחסות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אחזקת נשק </w:t>
      </w:r>
      <w:r>
        <w:rPr>
          <w:rtl w:val="true"/>
        </w:rPr>
        <w:t>(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ק עוזי</w:t>
      </w:r>
      <w:r>
        <w:rPr>
          <w:rtl w:val="true"/>
        </w:rPr>
        <w:t xml:space="preserve">) </w:t>
      </w:r>
      <w:r>
        <w:rPr>
          <w:rtl w:val="true"/>
        </w:rPr>
        <w:t>אחזקת תחמושת והפרעה לשוטר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הועמד לדין ביחד עם אחר</w:t>
      </w:r>
      <w:r>
        <w:rPr>
          <w:rtl w:val="true"/>
        </w:rPr>
        <w:t xml:space="preserve">, </w:t>
      </w:r>
      <w:r>
        <w:rPr>
          <w:rtl w:val="true"/>
        </w:rPr>
        <w:t xml:space="preserve">האחר הורשע אף הוא והוטלו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עבודות שירות</w:t>
      </w:r>
      <w:r>
        <w:rPr>
          <w:rtl w:val="true"/>
        </w:rPr>
        <w:t xml:space="preserve">.  </w:t>
      </w:r>
      <w:r>
        <w:rPr>
          <w:rtl w:val="true"/>
        </w:rPr>
        <w:t>ההבדל היחידי בין הנאשם שבפני לבין האחר היא העבירה של הפרעה לשוטר שהנאשם שבפני הורשע בה והאחר לא</w:t>
      </w:r>
      <w:r>
        <w:rPr>
          <w:rtl w:val="true"/>
        </w:rPr>
        <w:t xml:space="preserve">, </w:t>
      </w:r>
      <w:r>
        <w:rPr>
          <w:rtl w:val="true"/>
        </w:rPr>
        <w:t>וכל כולה היא משיכה של התיק בו היה הנשק מידי השוטר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נתן תסקיר והמליץ להטיל על הנאשם עבודו תךשירות המלצה זו נראית לי גם בשל הכלל של חיקוק הענישה ובשל העובדה כי הנאשם ללא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הנאשם היה מאחורי סורג ובריח 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יום ולאחר מכן</w:t>
      </w:r>
      <w:r>
        <w:rPr>
          <w:rtl w:val="true"/>
        </w:rPr>
        <w:t xml:space="preserve">, </w:t>
      </w:r>
      <w:r>
        <w:rPr>
          <w:rtl w:val="true"/>
        </w:rPr>
        <w:t>היה במעצר בית תחילה מלא ואח</w:t>
      </w:r>
      <w:r>
        <w:rPr>
          <w:rtl w:val="true"/>
        </w:rPr>
        <w:t>"</w:t>
      </w:r>
      <w:r>
        <w:rPr>
          <w:rtl w:val="true"/>
        </w:rPr>
        <w:t xml:space="preserve">כ חלקי חודשים ארוכים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הממונה על עבודות שירות מצא את הנאשם מתאים אשר על כן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שירוצו בעבודות שירות החל מיום </w:t>
      </w:r>
      <w:r>
        <w:rPr/>
        <w:t>27/7/2011</w:t>
      </w:r>
      <w:r>
        <w:rPr>
          <w:rtl w:val="true"/>
        </w:rPr>
        <w:t xml:space="preserve"> </w:t>
      </w:r>
      <w:r>
        <w:rPr>
          <w:rtl w:val="true"/>
        </w:rPr>
        <w:t>במרכז שיקום קרן באזור התעשיה בחדרה</w:t>
      </w:r>
      <w:r>
        <w:rPr>
          <w:rtl w:val="true"/>
        </w:rPr>
        <w:t xml:space="preserve">. </w:t>
      </w:r>
      <w:r>
        <w:rPr>
          <w:rtl w:val="true"/>
        </w:rPr>
        <w:t xml:space="preserve">ובאותו יום הנאשם יתייצב 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בבוקר בפני הממונה על עבודות השירות במתחם בית הסוהר חרמון בכפר מרר</w:t>
      </w:r>
      <w:r>
        <w:rPr>
          <w:rtl w:val="true"/>
        </w:rPr>
        <w:t xml:space="preserve">, </w:t>
      </w:r>
      <w:r>
        <w:rPr>
          <w:rtl w:val="true"/>
        </w:rPr>
        <w:t>לצורך קליטה והצבה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מוסבר לנאשם שאם לא יבצע את עבודות השירות כסדרם הממונה עלול להפסיקן מינהלית ובמקרה כזה</w:t>
      </w:r>
      <w:r>
        <w:rPr>
          <w:rtl w:val="true"/>
        </w:rPr>
        <w:t xml:space="preserve">, </w:t>
      </w:r>
      <w:r>
        <w:rPr>
          <w:rtl w:val="true"/>
        </w:rPr>
        <w:t>יהיה עליו לרצות את המאסר מאחורי 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שהנאשם 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עבירה על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ויורשע בה  בין בתקופת התנאי ובין 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קנס של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 xml:space="preserve">שישולם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 xml:space="preserve">יום מהיום ואם לא ישולם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 בזה צו כמבוקש לגבי 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תמציא העתק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ימים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אהוד קפלן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אהוד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קפלן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שהרבני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ורדה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5478-07-09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עזאת חנדקלו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2011-07-04T10:57:00Z</dcterms:created>
  <dc:creator> </dc:creator>
  <dc:description/>
  <cp:keywords/>
  <dc:language>en-IL</dc:language>
  <cp:lastModifiedBy>hofit</cp:lastModifiedBy>
  <dcterms:modified xsi:type="dcterms:W3CDTF">2011-07-04T10:57:00Z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עזאת חנדקלו</vt:lpwstr>
  </property>
  <property fmtid="{D5CDD505-2E9C-101B-9397-08002B2CF9AE}" pid="4" name="CITY">
    <vt:lpwstr>חד'</vt:lpwstr>
  </property>
  <property fmtid="{D5CDD505-2E9C-101B-9397-08002B2CF9AE}" pid="5" name="DATE">
    <vt:lpwstr>20110703</vt:lpwstr>
  </property>
  <property fmtid="{D5CDD505-2E9C-101B-9397-08002B2CF9AE}" pid="6" name="JUDGE">
    <vt:lpwstr>אהוד קפלן</vt:lpwstr>
  </property>
  <property fmtid="{D5CDD505-2E9C-101B-9397-08002B2CF9AE}" pid="7" name="LAWYER">
    <vt:lpwstr>גלעד תלמי;אבו עסאבה</vt:lpwstr>
  </property>
  <property fmtid="{D5CDD505-2E9C-101B-9397-08002B2CF9AE}" pid="8" name="NEWPARTA">
    <vt:lpwstr>5478</vt:lpwstr>
  </property>
  <property fmtid="{D5CDD505-2E9C-101B-9397-08002B2CF9AE}" pid="9" name="NEWPARTB">
    <vt:lpwstr>07</vt:lpwstr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380020110703</vt:lpwstr>
  </property>
  <property fmtid="{D5CDD505-2E9C-101B-9397-08002B2CF9AE}" pid="15" name="TYPE_N_DATE">
    <vt:lpwstr>38020110703</vt:lpwstr>
  </property>
  <property fmtid="{D5CDD505-2E9C-101B-9397-08002B2CF9AE}" pid="16" name="WORDNUMPAGES">
    <vt:lpwstr>2</vt:lpwstr>
  </property>
</Properties>
</file>