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3"/>
        <w:gridCol w:w="3666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5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54807-01-21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אלבחירי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אחינעם צוריאל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זהר אלבחירי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רקע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bookmarkStart w:id="7" w:name="ABSTRACT_START"/>
      <w:bookmarkEnd w:id="7"/>
      <w:r>
        <w:rPr>
          <w:rFonts w:ascii="David" w:hAnsi="David"/>
          <w:rtl w:val="true"/>
        </w:rPr>
        <w:t>הנאשם הורשע עפ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הודאתו ביום </w:t>
      </w:r>
      <w:r>
        <w:rPr>
          <w:rFonts w:cs="David" w:ascii="David" w:hAnsi="David"/>
        </w:rPr>
        <w:t>9.6.21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בעובדות כתב האישום המתוקן בעבירה של החזקת נשק שלא כדין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ובעבירה של החזקת תחמושת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עפ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17.1.21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הנאשם בביתו שבפזורת לקיה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במזוודת מתכת מעל ארון המטבח באקדח חצי אוטומטי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מודל </w:t>
      </w:r>
      <w:r>
        <w:rPr>
          <w:rFonts w:cs="David" w:ascii="David" w:hAnsi="David"/>
        </w:rPr>
        <w:t>HP-35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מספר סידורי </w:t>
      </w:r>
      <w:r>
        <w:rPr>
          <w:rFonts w:cs="David" w:ascii="David" w:hAnsi="David"/>
        </w:rPr>
        <w:t>FA01244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שבתוכו 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מחסנית אקדח נוספת וכן בחמש קופסאות תחמושת שהכילו </w:t>
      </w:r>
      <w:r>
        <w:rPr>
          <w:rFonts w:cs="David" w:ascii="David" w:hAnsi="David"/>
        </w:rPr>
        <w:t>213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bookmarkStart w:id="8" w:name="ABSTRACT_END"/>
      <w:bookmarkEnd w:id="8"/>
      <w:r>
        <w:rPr>
          <w:rFonts w:ascii="David" w:hAnsi="David"/>
          <w:rtl w:val="true"/>
        </w:rPr>
        <w:t>בין הצדדים לא גובש הסדר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הוסכם כי הנאשם יעתור לקבלת תסקיר שירות מבחן והמאשימה תשאיר הדבר לשיקול דעת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הסדר הטיעון הורה בית המשפט לשירות המבחן לערוך תסקיר בעניינו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מתסקיר שירות המבחן</w:t>
      </w:r>
      <w:r>
        <w:rPr>
          <w:rFonts w:ascii="David" w:hAnsi="David"/>
          <w:rtl w:val="true"/>
        </w:rPr>
        <w:t xml:space="preserve"> עולה כי הנאשם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נשוי ואב לארבעה ילדים בטווח הגילאים שנתיים עד תשע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שניים מילדיו סובלים מבעיות רפואיות בכליות ובלב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מזה כשנתיים וחצי הינו עצמאי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חנות למוצרי עישון ונרגילות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יצויין כי בשל טעות סופר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תסקיר שירות המבחן ציין בראשיתו כי הנאשם הורשע בביצוע עבירות החזקת סם שלא לצריכה עצמית והסתייעות ברכב לעבור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ניכר באופן ברור מהמשך התסקיר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שירות המבחן מתייחס לעבירות החזקת הנשק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לעבירות 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התמקד התסקיר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אשר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 מהתסקיר כי הנאשם לוקח אחריות חלקית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עבודתו בחנות הכיר חברה שולית אשר הפעילה עליו לחץ חברתי לרכוש את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שהנאשם הביע נכונות להשתלב בקבוצה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בא בהמלצה להטיל עליו צו מבחן למשך שנה במסגרתו יופנה לקבוצה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המליץ על ענישה מוחשית בדמות עבודות שירות ומאסר מותנה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טענות הצדדים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בטיעוניה לעונש הדגישה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את חומרת העבירות ואת הסיכון הטמון בהן לשלום הציבור ובטחונו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הפנתה 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להנחיית פרקליט המדינה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מדיניות ענישה בעבירות נשק ומטעני חבלה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rtl w:val="true"/>
        </w:rPr>
        <w:t>וכן לדברי ההסבר לתיקון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שהדגישה כי התיקון לא חל בעניינו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המאשימה לקבוע מתחם ענישה לאור התיקון לחוק וברוחו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ענישה בגין עבירות נשק צריכה לכלול רכיב עונשי של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אם מדובר בעבירה ראשונה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טענה המאשימה כי מתחם העונש ההולם את העבירות בהן הורשע הנאשם 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בצירוף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לעונש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למקם את עונשו בחלקו הנמוך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בתחתיתו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הנאשם</w:t>
      </w:r>
      <w:r>
        <w:rPr>
          <w:rFonts w:ascii="David" w:hAnsi="David"/>
          <w:rtl w:val="true"/>
        </w:rPr>
        <w:t xml:space="preserve"> הפנה לפסיקה הנוהגת ולענישה הכוללת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והדגיש כי נסיבות ביצוע העבירות בהן הורשע הנאשם אינן עולות בקנה אחד עם הפסיקה אליה הפנתה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הגיש סיכום מידע רפואי בנוגע לאחד מילדיו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סומן 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ועתר לאמץ את המלצת שירות המבחן בשל הודיית הנאשם במיוחס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החיסכון בזמן השיפוטי והיותו נעדר עבר פלילי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tLeast" w:line="360"/>
        <w:ind w:end="0"/>
        <w:jc w:val="both"/>
        <w:rPr>
          <w:rFonts w:cs="Times New Roman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דברי הנאשם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hd w:fill="FFFFFF" w:val="clear"/>
        <w:spacing w:lineRule="atLeast" w:line="360"/>
        <w:ind w:end="0"/>
        <w:jc w:val="both"/>
        <w:rPr>
          <w:rFonts w:cs="Times New Roman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60" w:before="0" w:after="0"/>
        <w:ind w:hanging="360" w:start="720" w:end="0"/>
        <w:contextualSpacing/>
        <w:jc w:val="start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בדבריו לבית המשפט הודה הנאשם בטעות שעשה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הצטער על ביצוע העבירה וציין את מעורבותו בטיפול בילדיו החולים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מתחם העונש ההולם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מתחם העונש ההולם למעשה העבירה נקבע בהתאם לעיקרון ההלימה ולפיו נדרש יחס הולם בין חומרת מעשה העבירה בנסיבותיו ומידת אשמו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ביישום עיקרון ההלימה וקביעת מתחם העונש במקרה קונקרטי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יתחשב בשלושת אלה</w:t>
      </w:r>
      <w:r>
        <w:rPr>
          <w:rFonts w:cs="David" w:ascii="David" w:hAnsi="David"/>
          <w:rtl w:val="true"/>
        </w:rPr>
        <w:t xml:space="preserve">:  </w:t>
      </w:r>
      <w:r>
        <w:rPr>
          <w:rFonts w:ascii="David" w:hAnsi="David"/>
          <w:rtl w:val="true"/>
        </w:rPr>
        <w:t>הערך החברתי שנפגע ומידת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הנוהגת ונסיבות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start"/>
        <w:rPr/>
      </w:pPr>
      <w:r>
        <w:rPr>
          <w:rFonts w:ascii="David" w:hAnsi="David"/>
          <w:rtl w:val="true"/>
        </w:rPr>
        <w:t>כתב האישום מתאר מסכת עבריינית אחת של החזקת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כן יש לראות בהם </w:t>
      </w:r>
      <w:r>
        <w:rPr>
          <w:rFonts w:ascii="David" w:hAnsi="David"/>
          <w:b/>
          <w:b/>
          <w:bCs/>
          <w:rtl w:val="true"/>
        </w:rPr>
        <w:t>אירוע אחד</w:t>
      </w:r>
      <w:r>
        <w:rPr>
          <w:rFonts w:ascii="David" w:hAnsi="David"/>
          <w:rtl w:val="true"/>
        </w:rPr>
        <w:t xml:space="preserve"> אשר יש לקבוע בגינו מתחם עונש הולם אחד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עבירות הנשק למיניהן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העבירות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טומנות בחובן את הסיכון לשלום הציבור ולביטחונו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במקרים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הנשק מקדימות ביצוע מעשים פליליים חמורים ומסוכנים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ניסיון החיים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מלמדנו כי נשק המוחזק שלא כדין עלול במהרה למצוא את דרכו לידיים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עוינות אשר יעשו בו שימוש למטרות פליליות או ביטחוניות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חומרת העבירה של החזקת נשק טמונה בכוונותיו של המחזיק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בהחזקה עצמה ובסיכון  הפוטנציאלי שגלום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סכסוך של מה בכך עלול להסלים במהירות לאירוע קטלני אך ורק בשל קיומו של נשק בהישג 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tLeast" w:line="330"/>
        <w:ind w:start="720" w:end="0"/>
        <w:jc w:val="both"/>
        <w:rPr>
          <w:rFonts w:ascii="David" w:hAnsi="David" w:cs="David"/>
          <w:color w:val="000000"/>
          <w:spacing w:val="10"/>
        </w:rPr>
      </w:pPr>
      <w:r>
        <w:rPr>
          <w:rFonts w:ascii="David" w:hAnsi="David"/>
          <w:color w:val="000000"/>
          <w:spacing w:val="10"/>
          <w:shd w:fill="FFFFFF" w:val="clear"/>
          <w:rtl w:val="true"/>
        </w:rPr>
        <w:t>בעניין זה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 xml:space="preserve">יפים הדברים שקבע כבוד השופט </w:t>
      </w:r>
      <w:r>
        <w:rPr>
          <w:rFonts w:ascii="David" w:hAnsi="David"/>
          <w:color w:val="000000"/>
          <w:shd w:fill="FFFFFF" w:val="clear"/>
          <w:rtl w:val="true"/>
        </w:rPr>
        <w:t>מ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מזוז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 xml:space="preserve"> ב</w:t>
      </w:r>
      <w:hyperlink r:id="rId10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4406/19</w:t>
        </w:r>
      </w:hyperlink>
      <w:r>
        <w:rPr>
          <w:rFonts w:cs="David" w:ascii="David" w:hAnsi="David"/>
          <w:spacing w:val="10"/>
          <w:rtl w:val="true"/>
        </w:rPr>
        <w:t xml:space="preserve"> ‏</w:t>
      </w:r>
      <w:r>
        <w:rPr>
          <w:rFonts w:ascii="David" w:hAnsi="David"/>
          <w:color w:val="000000"/>
          <w:rtl w:val="true"/>
        </w:rPr>
        <w:t>מדינת ישראל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סובח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[</w:t>
      </w:r>
      <w:r>
        <w:rPr>
          <w:rFonts w:ascii="David" w:hAnsi="David"/>
          <w:color w:val="000000"/>
          <w:shd w:fill="FFFFFF" w:val="clear"/>
          <w:rtl w:val="true"/>
        </w:rPr>
        <w:t>פורסם בנבו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] 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pacing w:val="10"/>
          <w:shd w:fill="FFFFFF" w:val="clear"/>
        </w:rPr>
        <w:t>5.11.2019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 xml:space="preserve">): </w:t>
      </w:r>
    </w:p>
    <w:p>
      <w:pPr>
        <w:pStyle w:val="Normal"/>
        <w:spacing w:lineRule="atLeast" w:line="330"/>
        <w:ind w:end="0"/>
        <w:jc w:val="both"/>
        <w:rPr>
          <w:rFonts w:ascii="David" w:hAnsi="David" w:cs="David"/>
          <w:color w:val="000000"/>
          <w:spacing w:val="10"/>
        </w:rPr>
      </w:pPr>
      <w:r>
        <w:rPr>
          <w:rFonts w:eastAsia="David" w:cs="David" w:ascii="David" w:hAnsi="David"/>
          <w:color w:val="000000"/>
          <w:spacing w:val="10"/>
          <w:shd w:fill="FFFFFF" w:val="clear"/>
          <w:rtl w:val="true"/>
        </w:rPr>
        <w:t xml:space="preserve"> </w:t>
      </w:r>
    </w:p>
    <w:p>
      <w:pPr>
        <w:pStyle w:val="Normal"/>
        <w:spacing w:lineRule="auto" w:line="360"/>
        <w:ind w:start="1642" w:end="1282"/>
        <w:jc w:val="both"/>
        <w:rPr/>
      </w:pP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>"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.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היא התשתית ו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>'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הגורם בלעדו איין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>(</w:t>
      </w:r>
      <w:r>
        <w:rPr>
          <w:rFonts w:cs="David" w:ascii="David" w:hAnsi="David"/>
          <w:b/>
          <w:bCs/>
          <w:i/>
          <w:iCs/>
          <w:color w:val="000000"/>
          <w:spacing w:val="10"/>
        </w:rPr>
        <w:t>causa sine qua non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) 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'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למגוון רחב של עבירות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החל בעבירות איומים ושוד מזוין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המשך בעבירות גרימת חבלה חמורה וכלה בעבירות המתה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.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לעתים קרובות הנשק הבלתי חוקי נרכש מלכתחילה למטרות עבירה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ואף אם הנשק נרכש למטרות 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>'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הגנה עצמית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',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הזמינות של הנשק מעודדת את השימוש בו לביצוע עבירות שונות ולהחרפת תוצאותיהן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>.</w:t>
      </w:r>
    </w:p>
    <w:p>
      <w:pPr>
        <w:pStyle w:val="Normal"/>
        <w:spacing w:lineRule="auto" w:line="360"/>
        <w:ind w:start="1642" w:end="1282"/>
        <w:jc w:val="both"/>
        <w:rPr>
          <w:rFonts w:ascii="David" w:hAnsi="David" w:cs="David"/>
          <w:b/>
          <w:bCs/>
          <w:i/>
          <w:i/>
          <w:iCs/>
          <w:color w:val="000000"/>
          <w:spacing w:val="10"/>
        </w:rPr>
      </w:pPr>
      <w:r>
        <w:rPr>
          <w:rFonts w:eastAsia="David" w:cs="David" w:ascii="David" w:hAnsi="David"/>
          <w:b/>
          <w:bCs/>
          <w:i/>
          <w:iCs/>
          <w:color w:val="000000"/>
          <w:spacing w:val="10"/>
          <w:rtl w:val="true"/>
        </w:rPr>
        <w:t xml:space="preserve"> </w:t>
      </w:r>
    </w:p>
    <w:p>
      <w:pPr>
        <w:pStyle w:val="Normal"/>
        <w:spacing w:lineRule="auto" w:line="360"/>
        <w:ind w:start="1642" w:end="1282"/>
        <w:jc w:val="both"/>
        <w:rPr/>
      </w:pP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על כן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המאבק בתופעות האלימות החמורות בחברה הישראלית בהן נעשה שימוש בנשק מחייב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מעבר למאמץ 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>'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לשים יד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'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על כלי הנשק הבלתי חוקיים הרבים שבידי הציבור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גם ענישה מחמירה ומרתיעה בעבירות נשק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לרבות על עצם החזקה או רכישה שלא כדין של נשק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shd w:fill="FFFFFF" w:val="clear"/>
          <w:rtl w:val="true"/>
        </w:rPr>
        <w:t xml:space="preserve"> </w:t>
      </w:r>
      <w:r>
        <w:rPr>
          <w:rFonts w:cs="David" w:ascii="David" w:hAnsi="David"/>
          <w:b/>
          <w:bCs/>
          <w:i/>
          <w:iCs/>
          <w:color w:val="000000"/>
          <w:spacing w:val="10"/>
          <w:shd w:fill="FFFFFF" w:val="clear"/>
          <w:rtl w:val="true"/>
        </w:rPr>
        <w:t xml:space="preserve">[...]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 xml:space="preserve">בבחינת 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>'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ייבוש הביצה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'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המשמשת ערש לגידולן של תופעות אלה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.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מהלך כזה מחייב הירתמות גם של בתי המשפט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על ידי ענישה מחמירה ומרתיעה לעבירות נשק בלתי חוקי באשר הן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color w:val="000000"/>
          <w:spacing w:val="10"/>
          <w:rtl w:val="true"/>
        </w:rPr>
        <w:t>וכל שכן מקום שנעשה בנשק כזה שימוש בביצוע עבירות אלימות לסוגיהן</w:t>
      </w: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  <w:t>".</w:t>
      </w:r>
    </w:p>
    <w:p>
      <w:pPr>
        <w:pStyle w:val="Normal"/>
        <w:spacing w:lineRule="auto" w:line="360"/>
        <w:ind w:start="1642" w:end="1282"/>
        <w:jc w:val="both"/>
        <w:rPr>
          <w:rFonts w:ascii="David" w:hAnsi="David" w:cs="David"/>
          <w:b/>
          <w:bCs/>
          <w:i/>
          <w:i/>
          <w:iCs/>
          <w:color w:val="000000"/>
          <w:spacing w:val="10"/>
        </w:rPr>
      </w:pP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</w:r>
    </w:p>
    <w:p>
      <w:pPr>
        <w:pStyle w:val="Normal"/>
        <w:shd w:fill="FFFFFF" w:val="clear"/>
        <w:spacing w:lineRule="atLeast" w:line="360"/>
        <w:ind w:firstLine="720" w:end="0"/>
        <w:jc w:val="both"/>
        <w:rPr/>
      </w:pPr>
      <w:r>
        <w:rPr>
          <w:rFonts w:ascii="David" w:hAnsi="David"/>
          <w:rtl w:val="true"/>
        </w:rPr>
        <w:t>כך נקבע אף 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7502/12</w:t>
        </w:r>
      </w:hyperlink>
      <w:r>
        <w:rPr>
          <w:rFonts w:cs="David" w:ascii="David" w:hAnsi="David"/>
          <w:rtl w:val="true"/>
        </w:rPr>
        <w:t xml:space="preserve"> ‏</w:t>
      </w:r>
      <w:r>
        <w:rPr>
          <w:rFonts w:ascii="Miriam" w:hAnsi="Miriam" w:cs="Miriam"/>
          <w:rtl w:val="true"/>
        </w:rPr>
        <w:t>כוויס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25.6.2013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hd w:fill="FFFFFF" w:val="clear"/>
        <w:spacing w:lineRule="atLeast" w:line="360"/>
        <w:ind w:end="0"/>
        <w:jc w:val="start"/>
        <w:rPr>
          <w:rFonts w:ascii="David" w:hAnsi="David" w:cs="David"/>
          <w:b/>
          <w:bCs/>
          <w:i/>
          <w:i/>
          <w:iCs/>
          <w:color w:val="000000"/>
        </w:rPr>
      </w:pPr>
      <w:r>
        <w:rPr>
          <w:rFonts w:eastAsia="David" w:cs="David" w:ascii="David" w:hAnsi="David"/>
          <w:b/>
          <w:bCs/>
          <w:i/>
          <w:iCs/>
          <w:color w:val="000000"/>
          <w:rtl w:val="true"/>
        </w:rPr>
        <w:t xml:space="preserve">  </w:t>
      </w:r>
    </w:p>
    <w:p>
      <w:pPr>
        <w:pStyle w:val="Normal"/>
        <w:shd w:fill="FFFFFF" w:val="clear"/>
        <w:spacing w:lineRule="atLeast" w:line="360"/>
        <w:ind w:start="720" w:end="0"/>
        <w:jc w:val="start"/>
        <w:rPr>
          <w:rFonts w:ascii="David" w:hAnsi="David" w:cs="David"/>
          <w:b/>
          <w:bCs/>
          <w:i/>
          <w:i/>
          <w:iCs/>
          <w:color w:val="000000"/>
        </w:rPr>
      </w:pPr>
      <w:r>
        <w:rPr>
          <w:rFonts w:cs="David" w:ascii="David" w:hAnsi="David"/>
          <w:b/>
          <w:bCs/>
          <w:i/>
          <w:iCs/>
          <w:color w:val="000000"/>
          <w:rtl w:val="true"/>
        </w:rPr>
        <w:t>"</w:t>
      </w:r>
      <w:r>
        <w:rPr>
          <w:rFonts w:ascii="David" w:hAnsi="David"/>
          <w:b/>
          <w:b/>
          <w:bCs/>
          <w:i/>
          <w:i/>
          <w:iCs/>
          <w:color w:val="000000"/>
          <w:rtl w:val="true"/>
        </w:rPr>
        <w:t>עבירות בנשק לסוגיהן מגלמות בתוכן סיכון ממשי לשלום הציבור ולביטחונו</w:t>
      </w:r>
      <w:r>
        <w:rPr>
          <w:rFonts w:cs="David" w:ascii="David" w:hAnsi="David"/>
          <w:b/>
          <w:bCs/>
          <w:i/>
          <w:i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color w:val="000000"/>
          <w:rtl w:val="true"/>
        </w:rPr>
        <w:t>שכן לא ניתן לדעת להיכן יתגלגלו כלי הנשק המוחזקים שלא כדין</w:t>
      </w:r>
      <w:r>
        <w:rPr>
          <w:rFonts w:cs="David" w:ascii="David" w:hAnsi="David"/>
          <w:b/>
          <w:bCs/>
          <w:i/>
          <w:i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i/>
          <w:i/>
          <w:iCs/>
          <w:color w:val="000000"/>
          <w:rtl w:val="true"/>
        </w:rPr>
        <w:t>ואיזה שימוש יעשה בהם בעתיד</w:t>
      </w:r>
      <w:r>
        <w:rPr>
          <w:rFonts w:cs="David" w:ascii="David" w:hAnsi="David"/>
          <w:b/>
          <w:bCs/>
          <w:i/>
          <w:iCs/>
          <w:color w:val="000000"/>
          <w:rtl w:val="true"/>
        </w:rPr>
        <w:t xml:space="preserve">" </w:t>
      </w:r>
    </w:p>
    <w:p>
      <w:pPr>
        <w:pStyle w:val="Normal"/>
        <w:shd w:fill="FFFFFF" w:val="clear"/>
        <w:spacing w:lineRule="atLeast" w:line="360"/>
        <w:ind w:end="0"/>
        <w:jc w:val="start"/>
        <w:rPr>
          <w:rFonts w:ascii="David" w:hAnsi="David" w:cs="David"/>
          <w:b/>
          <w:bCs/>
          <w:i/>
          <w:i/>
          <w:iCs/>
          <w:color w:val="000000"/>
        </w:rPr>
      </w:pPr>
      <w:r>
        <w:rPr>
          <w:rFonts w:cs="David" w:ascii="David" w:hAnsi="David"/>
          <w:b/>
          <w:bCs/>
          <w:i/>
          <w:iCs/>
          <w:color w:val="000000"/>
          <w:rtl w:val="true"/>
        </w:rPr>
      </w:r>
    </w:p>
    <w:p>
      <w:pPr>
        <w:pStyle w:val="Normal"/>
        <w:shd w:fill="FFFFFF" w:val="clear"/>
        <w:spacing w:lineRule="atLeast" w:line="360"/>
        <w:ind w:start="720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>בית המשפט העליון עמד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אחת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חומרתן הרבה של עבירות הנשק למיניהן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פוטנציאל הסיכון הרב הטמון בהן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העבירה של החזקת נשק שלא כדין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 התוצאות הקשות והרות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הגורל שעלולות להיגרם מביצוע עבירות בנשק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hd w:fill="FFFFFF" w:val="clear"/>
        <w:spacing w:lineRule="atLeast" w:line="360"/>
        <w:ind w:end="0"/>
        <w:jc w:val="both"/>
        <w:rPr>
          <w:rFonts w:cs="Times New Roman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start"/>
        <w:rPr/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הנוגע לחומרת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לכרוך את כלל עבירות הנשק בכריכה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עבירות אלה נחלקות למדרגי חומרה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דומה עבירה של סחר בנשק לעבירה של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הענישה הקבועה בחוק לעבירות הנשק השונות מבטאת מדרג חומרה יחסי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מעבר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לשקול ולהביא בחשבון את סוג הנשק המוחזק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כמותו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התכלית שלשמה הוא הוחזק ואת הסכנה המוחשית שיעשה בו שימוש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1282"/>
        <w:jc w:val="both"/>
        <w:rPr>
          <w:rFonts w:ascii="David" w:hAnsi="David" w:cs="David"/>
          <w:b/>
          <w:bCs/>
          <w:i/>
          <w:i/>
          <w:iCs/>
          <w:color w:val="000000"/>
          <w:spacing w:val="10"/>
        </w:rPr>
      </w:pPr>
      <w:r>
        <w:rPr>
          <w:rFonts w:ascii="David" w:hAnsi="David"/>
          <w:rtl w:val="true"/>
        </w:rPr>
        <w:t>כבר עתה ניתן לומר כי לנוכח סוג הנשק שנתפס ברשותו של הנאשם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העובדה כי מדובר בנשק בודד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סוג הנשק והתחמושת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ובהתחשב ביתר 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יפורטו 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כי מידת הפגיעה של 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בערכים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</w:t>
      </w:r>
      <w:r>
        <w:rPr>
          <w:rFonts w:cs="David" w:ascii="David" w:hAnsi="David"/>
          <w:rtl w:val="true"/>
        </w:rPr>
        <w:softHyphen/>
      </w:r>
      <w:r>
        <w:rPr>
          <w:rFonts w:ascii="David" w:hAnsi="David"/>
          <w:rtl w:val="true"/>
        </w:rPr>
        <w:t>ם אינה מצויה ברף הגבוה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i/>
          <w:i/>
          <w:iCs/>
          <w:color w:val="000000"/>
          <w:spacing w:val="10"/>
        </w:rPr>
      </w:pPr>
      <w:r>
        <w:rPr>
          <w:rFonts w:cs="David" w:ascii="David" w:hAnsi="David"/>
          <w:b/>
          <w:bCs/>
          <w:i/>
          <w:iCs/>
          <w:color w:val="000000"/>
          <w:spacing w:val="10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בבחינת </w:t>
      </w:r>
      <w:r>
        <w:rPr>
          <w:rFonts w:ascii="David" w:hAnsi="David"/>
          <w:b/>
          <w:b/>
          <w:bCs/>
          <w:rtl w:val="true"/>
        </w:rPr>
        <w:t xml:space="preserve">הנסיבות </w:t>
      </w:r>
      <w:r>
        <w:rPr>
          <w:rFonts w:ascii="David" w:hAnsi="David"/>
          <w:rtl w:val="true"/>
        </w:rPr>
        <w:t xml:space="preserve">הקשורות בביצוע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12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ט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חלקן נסיבות לחומרא וחלקן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ואפרטן 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הנזק שהיה צפוי להיגרם מביצוע העבירות – אין חולק כי כתוצאה מביצוע מעשיו של הנאשם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נגרם כל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לנזק שצפוי היה להיגרם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 מביצוע המעשים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שכפי שפורט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בנזק פוטנציאלי אשר מפניו יש להגן על 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בנוגע לסיבות שהביאו את הנאשם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 את העבירות – הרקע להחזקת הנשק לא קיבל ביטוי 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הנאשם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 בשיחותיו בשירות המבחן כי חבריו הפעילו עליו לחץ חברתי לרכוש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לתפיסתם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 שלא מחזיק נשק אינו ממלא את תפקיד הגבר בביתו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עולה מהדברים כי מטרת ההחזקה בנשק היתה בעיקר לצורכי הגנה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</w:t>
      </w:r>
      <w:r>
        <w:rPr>
          <w:rFonts w:cs="David" w:ascii="David" w:hAnsi="David"/>
          <w:rtl w:val="true"/>
        </w:rPr>
        <w:t>,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David" w:hAnsi="David"/>
          <w:rtl w:val="true"/>
        </w:rPr>
        <w:t>לא צויין איום קונקרטי כלשהו ברקע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יודגש כי לא נטען בפניי שהנאשם</w:t>
      </w:r>
      <w:r>
        <w:rPr>
          <w:rFonts w:cs="David" w:ascii="David" w:hAnsi="David"/>
          <w:rtl w:val="true"/>
        </w:rPr>
        <w:softHyphen/>
        <w:t xml:space="preserve"> </w:t>
      </w:r>
      <w:r>
        <w:rPr>
          <w:rFonts w:ascii="David" w:hAnsi="David"/>
          <w:rtl w:val="true"/>
        </w:rPr>
        <w:t>החזיק בנשק לשם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 מעשים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פליליים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כאלה או אחרים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ובוודאי שלא על מנת לפגוע בביטחון המדינה או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המיקום בבית הנאשם בו הוחזק הנשק הינו בעל משמעות רבה לעניין זיהוי תכלית ההחזקה ומידת הסיכון הכרוכה 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ככל שהנשק הוחזק במקום בו האפשרות של עשיית שימוש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בכוונת מכוון או בשוגג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ידי האדם המחזיק או על ידי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גדולה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יהווה הדבר נסיבה משמעותית לחומרא – בענייננו הוסכם על הצדדים כי הנשק ובתוכו המחסנית הוחזקו במזוודה מעל ארון המטבח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במקום שאין עליו שמירה קפדנית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בסביבת מגורים בהם מתגוררים בני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במקום שמידת הנגישות שלו בינונית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לקחתי בחשבון כי לא מדובר בהחזקת נשק רגעית של מספר דקות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הנשק הוחזק בביתו של המשיב ולא על גופו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במקום ציבורי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לקחת בחשבון את 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בהחזקתו הורשע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העונש המושת על נאשם בגין עבירות המתבצעות בנשק צריך להיות מושפע מפוטנציאל הסיכון הטמון בנשק המוחזק שלא כדין תוך התייחסות בין היתר לסוג הנשק הספציפי בו בוצעה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: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חסן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5.6.2013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בענייננו לא עסקינן בנשק התקפי רב עוצמה אשר השימוש בו יכול להביא להרג ללא הבחנה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בנשק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הגנתי</w:t>
      </w:r>
      <w:r>
        <w:rPr>
          <w:rFonts w:cs="David" w:ascii="David" w:hAnsi="David"/>
          <w:rtl w:val="true"/>
        </w:rPr>
        <w:t xml:space="preserve">"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שנועד ככל הנראה להגנה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מבלי להקל ראש בפוטנציאל הסיכון הגלום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להתעלם מכמות הכדורים הגדולה שנמצאה בקופסאות התחמושת בסמוך לאקדח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והדבר מהווה נסיבה לחומרא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 למדיניות הענישה הנהוגה בעבירות 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מחלוקת כי עבירות הנשק לסוגיהן הפכו זה מכבר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בשעה שמעשי האלימות גואים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ברחבי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התופעה של החזקת נשק שלא כדין נפוצה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במיוחד באזורים מסוימים במדינה ובהם אזור הדרום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גורמי האכיפה פועלים למיגור התופעה והציבור משווע לשינוי המצב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ביהמ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ש לתרום את תרומתו בהטלת ענישה מחמירה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למען יראו וייראו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shd w:fill="FFFFFF" w:val="clear"/>
        <w:spacing w:lineRule="atLeast" w:line="360"/>
        <w:ind w:end="0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בשל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הנשק הוגדרו בפסיקה כעבירות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שבית המשפט העליון הביע עמדתו לפיה יש לקבוע מדיניות ענישה הכוללת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רכיב של מאסר בפועל לריצוי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אם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 בנאשמים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שזו עבירתם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למשל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 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1505/14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לידאוי </w:t>
      </w:r>
      <w:r>
        <w:rPr>
          <w:rFonts w:ascii="David" w:hAnsi="David"/>
          <w:rtl w:val="true"/>
        </w:rPr>
        <w:t xml:space="preserve">נגד 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4.11.2014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 w:before="0" w:after="160"/>
        <w:ind w:start="360" w:end="0"/>
        <w:jc w:val="start"/>
        <w:rPr>
          <w:rFonts w:ascii="David" w:hAnsi="David" w:cs="David"/>
          <w:b/>
          <w:bCs/>
          <w:i/>
          <w:i/>
          <w:iCs/>
        </w:rPr>
      </w:pPr>
      <w:r>
        <w:rPr>
          <w:rFonts w:cs="David" w:ascii="David" w:hAnsi="David"/>
          <w:b/>
          <w:bCs/>
          <w:i/>
          <w:iCs/>
          <w:rtl w:val="true"/>
        </w:rPr>
        <w:t>"</w:t>
      </w:r>
      <w:r>
        <w:rPr>
          <w:rFonts w:ascii="David" w:hAnsi="David"/>
          <w:b/>
          <w:b/>
          <w:bCs/>
          <w:i/>
          <w:i/>
          <w:iCs/>
          <w:rtl w:val="true"/>
        </w:rPr>
        <w:t>בית משפט זה עמד לא פעם על חומרתן של עבירות הנשק בכלל ועל עבירות החזקת הנשר בפרט</w:t>
      </w:r>
      <w:r>
        <w:rPr>
          <w:rFonts w:cs="David" w:ascii="David" w:hAnsi="David"/>
          <w:b/>
          <w:bCs/>
          <w:i/>
          <w:iCs/>
          <w:rtl w:val="true"/>
        </w:rPr>
        <w:t xml:space="preserve">. </w:t>
      </w:r>
      <w:r>
        <w:rPr>
          <w:rFonts w:ascii="David" w:hAnsi="David"/>
          <w:b/>
          <w:b/>
          <w:bCs/>
          <w:i/>
          <w:i/>
          <w:iCs/>
          <w:rtl w:val="true"/>
        </w:rPr>
        <w:t>מדיניות הענישה היא של הטלת עונשי מאסר לריצוי בפועל גם על מי שזו עבירות הראשונה</w:t>
      </w:r>
      <w:r>
        <w:rPr>
          <w:rFonts w:cs="David" w:ascii="David" w:hAnsi="David"/>
          <w:b/>
          <w:bCs/>
          <w:i/>
          <w:iCs/>
          <w:rtl w:val="true"/>
        </w:rPr>
        <w:t>"</w:t>
      </w:r>
    </w:p>
    <w:p>
      <w:pPr>
        <w:pStyle w:val="Normal"/>
        <w:spacing w:lineRule="auto" w:line="360" w:before="0" w:after="160"/>
        <w:ind w:start="360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נראה כי לאחרונה אף ניכרת בפסיקה מגמת החמרה בעונשי המאסר הנגזרים על נאשמים בעבירת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כפי שנקבע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בית המשפט העליון 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14.04.2022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עניין קדורה</w:t>
      </w:r>
      <w:r>
        <w:rPr>
          <w:rFonts w:cs="David" w:ascii="David" w:hAnsi="David"/>
          <w:rtl w:val="true"/>
        </w:rPr>
        <w:t>"):</w:t>
      </w:r>
    </w:p>
    <w:p>
      <w:pPr>
        <w:pStyle w:val="Normal"/>
        <w:shd w:fill="FFFFFF" w:val="clear"/>
        <w:spacing w:lineRule="atLeast" w:line="360"/>
        <w:ind w:hanging="720" w:start="720" w:end="0"/>
        <w:jc w:val="both"/>
        <w:rPr>
          <w:rFonts w:cs="Times New Roman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Normal"/>
        <w:shd w:fill="FFFFFF" w:val="clear"/>
        <w:spacing w:lineRule="atLeast" w:line="360"/>
        <w:ind w:start="1076" w:end="426"/>
        <w:jc w:val="both"/>
        <w:rPr>
          <w:rFonts w:cs="Times New Roman"/>
          <w:color w:val="000000"/>
        </w:rPr>
      </w:pP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בשורה ארוכה של פסקי דין עמד בית משפט זה על החומרה הרבה הטמונה בעבירות נשק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עבירות שהפכו ל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'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מכת מדינה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ומגלמות סכנה ממשית לשלום הציבור ולביטחונו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בהתאם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ניכרת במהלך השנים מגמה של החמרה בענישה לצורך מיגור עבירות אלו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תוך מתן משקל לשיקולי הרתעה</w:t>
      </w:r>
      <w:r>
        <w:rPr>
          <w:rFonts w:cs="David" w:ascii="David" w:hAnsi="David"/>
          <w:b/>
          <w:bCs/>
          <w:color w:val="000000"/>
          <w:rtl w:val="true"/>
        </w:rPr>
        <w:t>....'</w:t>
      </w:r>
      <w:r>
        <w:rPr>
          <w:rFonts w:ascii="David" w:hAnsi="David"/>
          <w:b/>
          <w:b/>
          <w:bCs/>
          <w:color w:val="000000"/>
          <w:rtl w:val="true"/>
        </w:rPr>
        <w:t>על כן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המאבק בתופעות האלימות החמורות בחברה הישראלית בהן נעשה שימוש בנשק מחייב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מעבר למאמץ 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לשים יד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על כלי הנשק הבלתי חוקיים הרבים שבידי הציבור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גם ענישה מחמירה ומרתיעה בעבירות נשק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לרבות על עצם החזקה או רכישה שלא כדין של נשק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[...] </w:t>
      </w:r>
      <w:r>
        <w:rPr>
          <w:rFonts w:ascii="David" w:hAnsi="David"/>
          <w:b/>
          <w:b/>
          <w:bCs/>
          <w:color w:val="000000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בבחינת 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ייבוש הביצה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המשמשת ערש לגידולן של תופעות אלה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מהלך כזה מחייב הירתמות גם של בתי המשפט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על ידי ענישה מחמירה ומרתיעה לעבירות נשק בלתי חוקי באשר הן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וכל שכן מקום שנעשה בנשק כזה שימוש בביצוע עבירות אלימות לסוגיהן</w:t>
      </w:r>
      <w:r>
        <w:rPr>
          <w:rFonts w:cs="David" w:ascii="David" w:hAnsi="David"/>
          <w:b/>
          <w:bCs/>
          <w:color w:val="000000"/>
          <w:rtl w:val="true"/>
        </w:rPr>
        <w:t xml:space="preserve">'... </w:t>
      </w:r>
      <w:r>
        <w:rPr>
          <w:rFonts w:ascii="David" w:hAnsi="David"/>
          <w:b/>
          <w:b/>
          <w:bCs/>
          <w:color w:val="000000"/>
          <w:rtl w:val="true"/>
        </w:rPr>
        <w:t>ענייננו ב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מכת מדינה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מצריך מענה הולם והטלת עונשי מאסר משמעותיים</w:t>
      </w:r>
      <w:r>
        <w:rPr>
          <w:rFonts w:cs="David" w:ascii="David" w:hAnsi="David"/>
          <w:b/>
          <w:bCs/>
          <w:color w:val="000000"/>
          <w:rtl w:val="true"/>
        </w:rPr>
        <w:t xml:space="preserve">... </w:t>
      </w:r>
      <w:r>
        <w:rPr>
          <w:rFonts w:ascii="David" w:hAnsi="David"/>
          <w:b/>
          <w:b/>
          <w:bCs/>
          <w:color w:val="000000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בבחינת 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אם מחזיקים – למאסר נשלחים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shd w:fill="FFFFFF" w:val="clear"/>
        <w:spacing w:lineRule="atLeast" w:line="360"/>
        <w:ind w:start="1076" w:end="426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 w:val="true"/>
        </w:rPr>
      </w:r>
    </w:p>
    <w:p>
      <w:pPr>
        <w:pStyle w:val="Normal"/>
        <w:numPr>
          <w:ilvl w:val="0"/>
          <w:numId w:val="4"/>
        </w:numPr>
        <w:shd w:fill="FFFFFF" w:val="clear"/>
        <w:spacing w:lineRule="atLeast" w:line="360" w:before="0" w:after="0"/>
        <w:ind w:hanging="360" w:start="720" w:end="0"/>
        <w:contextualSpacing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>בבואנו לבחון את מדיניות הענישה הנוהגת נמצא כי במקרים דומים הוטלו על נאשמים עונשים במנעד רחב כפי שיפורט 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hd w:fill="FFFFFF" w:val="clear"/>
        <w:spacing w:lineRule="atLeast" w:line="360"/>
        <w:ind w:start="1076" w:end="426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hd w:fill="FFFFFF" w:val="clear"/>
        <w:spacing w:lineRule="atLeast" w:line="360" w:before="0" w:after="160"/>
        <w:ind w:hanging="765" w:start="1545" w:end="0"/>
        <w:contextualSpacing/>
        <w:jc w:val="both"/>
        <w:rPr>
          <w:rFonts w:ascii="David" w:hAnsi="David" w:cs="David"/>
          <w:color w:val="000000"/>
        </w:rPr>
      </w:pP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166/22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מוחמד טאהא</w:t>
      </w:r>
      <w:r>
        <w:rPr>
          <w:rFonts w:ascii="David" w:hAnsi="David"/>
          <w:color w:val="000000"/>
          <w:rtl w:val="true"/>
        </w:rPr>
        <w:t xml:space="preserve">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ניתן ביום </w:t>
      </w:r>
      <w:r>
        <w:rPr>
          <w:rFonts w:cs="David" w:ascii="David" w:hAnsi="David"/>
          <w:color w:val="000000"/>
        </w:rPr>
        <w:t>1.6.22</w:t>
      </w:r>
      <w:r>
        <w:rPr>
          <w:rFonts w:cs="David" w:ascii="David" w:hAnsi="David"/>
          <w:color w:val="000000"/>
          <w:rtl w:val="true"/>
        </w:rPr>
        <w:t>) 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לבקשת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תת מקלע מאולתר לשם העברתו במכוניתו לביתו של האחר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הנשק נמצא בחיפוש שערך שוטר ברכבו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הורשע במסגרת הסדר טיעון בעבירה של החזקת נשק ונגזרו עליו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לבית המשפט העליון על חומרת העונש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360" w:before="0" w:after="160"/>
        <w:ind w:hanging="765" w:start="1545" w:end="0"/>
        <w:contextualSpacing/>
        <w:jc w:val="both"/>
        <w:rPr>
          <w:rFonts w:ascii="David" w:hAnsi="David" w:cs="David"/>
          <w:color w:val="000000"/>
        </w:rPr>
      </w:pP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</w:rPr>
          <w:t>5813/21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בארין</w:t>
      </w:r>
      <w:r>
        <w:rPr>
          <w:rFonts w:ascii="David" w:hAnsi="David"/>
          <w:color w:val="000000"/>
          <w:rtl w:val="true"/>
        </w:rPr>
        <w:t xml:space="preserve">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ניתן ביום </w:t>
      </w:r>
      <w:r>
        <w:rPr>
          <w:rFonts w:cs="David" w:ascii="David" w:hAnsi="David"/>
          <w:color w:val="000000"/>
        </w:rPr>
        <w:t>31.5.22</w:t>
      </w:r>
      <w:r>
        <w:rPr>
          <w:rFonts w:cs="David" w:ascii="David" w:hAnsi="David"/>
          <w:color w:val="000000"/>
          <w:rtl w:val="true"/>
        </w:rPr>
        <w:t xml:space="preserve">) – </w:t>
      </w:r>
      <w:r>
        <w:rPr>
          <w:rFonts w:ascii="David" w:hAnsi="David"/>
          <w:color w:val="000000"/>
          <w:rtl w:val="true"/>
        </w:rPr>
        <w:t xml:space="preserve">בית המשפט העליון אישר מתחם של </w:t>
      </w:r>
      <w:r>
        <w:rPr>
          <w:rFonts w:cs="David" w:ascii="David" w:hAnsi="David"/>
          <w:color w:val="000000"/>
        </w:rPr>
        <w:t>12-36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בגין עבירה של החזקת רובה ציד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על הנאשמים נגזרו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בהתאמה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360" w:before="0" w:after="160"/>
        <w:ind w:hanging="765" w:start="1545" w:end="0"/>
        <w:contextualSpacing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rtl w:val="true"/>
        </w:rPr>
        <w:t xml:space="preserve">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3355/22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עלאא סלאמה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26.5.22</w:t>
      </w:r>
      <w:r>
        <w:rPr>
          <w:rFonts w:cs="David" w:ascii="David" w:hAnsi="David"/>
          <w:color w:val="000000"/>
          <w:rtl w:val="true"/>
        </w:rPr>
        <w:t xml:space="preserve">) - </w:t>
      </w:r>
      <w:r>
        <w:rPr>
          <w:rFonts w:ascii="David" w:hAnsi="David"/>
          <w:rtl w:val="true"/>
        </w:rPr>
        <w:t xml:space="preserve">בית המשפט העליון דחה בקשה לרשות ערעור שהוגשה לאחר שבית המשפט המחוזי החמיר בעונשו של הנאשם בגין אחזקת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ריקה תואמת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ותרמיל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בקליבר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פאראבלום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קבע מתחם ענישה של </w:t>
      </w:r>
      <w:r>
        <w:rPr>
          <w:rFonts w:cs="David" w:ascii="David" w:hAnsi="David"/>
          <w:color w:val="000000"/>
        </w:rPr>
        <w:t>24-50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וגזר עליו </w:t>
      </w:r>
      <w:r>
        <w:rPr>
          <w:rFonts w:cs="David" w:ascii="David" w:hAnsi="David"/>
          <w:b/>
          <w:bCs/>
          <w:color w:val="000000"/>
        </w:rPr>
        <w:t>28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ascii="David" w:hAnsi="David"/>
          <w:color w:val="000000"/>
          <w:rtl w:val="true"/>
        </w:rPr>
        <w:t xml:space="preserve"> בצירוף ענישה נלווית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360" w:before="0" w:after="160"/>
        <w:ind w:hanging="765" w:start="1545" w:end="0"/>
        <w:contextualSpacing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ענין קדורה</w:t>
      </w:r>
      <w:r>
        <w:rPr>
          <w:rFonts w:cs="David" w:ascii="David" w:hAnsi="David"/>
          <w:color w:val="000000"/>
          <w:spacing w:val="10"/>
          <w:rtl w:val="true"/>
        </w:rPr>
        <w:t xml:space="preserve">" </w:t>
      </w:r>
      <w:r>
        <w:rPr>
          <w:rFonts w:ascii="David" w:hAnsi="David"/>
          <w:color w:val="000000"/>
          <w:spacing w:val="10"/>
          <w:rtl w:val="true"/>
        </w:rPr>
        <w:t>שהוזכר לעיל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הוחמר עונשו של נאשם שהורשע בביצוע עבירה של </w:t>
      </w:r>
      <w:r>
        <w:rPr>
          <w:rFonts w:ascii="David" w:hAnsi="David"/>
          <w:rtl w:val="true"/>
        </w:rPr>
        <w:t xml:space="preserve">החזקת נשק בצוותא עם אחר לפי </w:t>
      </w:r>
      <w:hyperlink r:id="rId1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מסוג אקדח גלוק </w:t>
      </w:r>
      <w:r>
        <w:rPr>
          <w:rFonts w:ascii="David" w:hAnsi="David"/>
          <w:color w:val="000000"/>
          <w:rtl w:val="true"/>
        </w:rPr>
        <w:t>ורימון הלם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בצוותא עם אחר והושתו עליו </w:t>
      </w:r>
      <w:r>
        <w:rPr>
          <w:rFonts w:cs="David" w:ascii="David" w:hAnsi="David"/>
          <w:b/>
          <w:bCs/>
          <w:color w:val="000000"/>
        </w:rPr>
        <w:t>18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תחת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שגזר עליו בית המשפט המחוזי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360" w:before="0" w:after="160"/>
        <w:ind w:hanging="765" w:start="1545" w:end="0"/>
        <w:contextualSpacing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color w:val="333333"/>
          <w:shd w:fill="FAFAFA" w:val="clear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u w:val="single"/>
            <w:shd w:fill="FAFAFA" w:val="clear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shd w:fill="FAFAFA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AFAFA" w:val="clear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shd w:fill="FAFAFA" w:val="clear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shd w:fill="FAFAFA" w:val="clear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shd w:fill="FAFAFA" w:val="clear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  <w:shd w:fill="FAFAFA" w:val="clear"/>
          </w:rPr>
          <w:t>46460-02-22</w:t>
        </w:r>
      </w:hyperlink>
      <w:r>
        <w:rPr>
          <w:rFonts w:cs="David" w:ascii="David" w:hAnsi="David"/>
          <w:color w:val="333333"/>
          <w:shd w:fill="FAFAFA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333333"/>
          <w:shd w:fill="FAFAFA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333333"/>
          <w:shd w:fill="FAFAFA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333333"/>
          <w:shd w:fill="FAFAFA" w:val="clear"/>
          <w:rtl w:val="true"/>
        </w:rPr>
        <w:t xml:space="preserve">אמיר צואלחה </w:t>
      </w:r>
      <w:r>
        <w:rPr>
          <w:rFonts w:cs="David" w:ascii="David" w:hAnsi="David"/>
          <w:color w:val="333333"/>
          <w:shd w:fill="FAFAFA" w:val="clear"/>
          <w:rtl w:val="true"/>
        </w:rPr>
        <w:t>(</w:t>
      </w:r>
      <w:r>
        <w:rPr>
          <w:rFonts w:ascii="David" w:hAnsi="David"/>
          <w:color w:val="333333"/>
          <w:shd w:fill="FAFAFA" w:val="clear"/>
          <w:rtl w:val="true"/>
        </w:rPr>
        <w:t>פורסם</w:t>
      </w:r>
      <w:r>
        <w:rPr>
          <w:rFonts w:ascii="David" w:hAnsi="David"/>
          <w:b/>
          <w:b/>
          <w:bCs/>
          <w:color w:val="333333"/>
          <w:shd w:fill="FAFAFA" w:val="clear"/>
          <w:rtl w:val="true"/>
        </w:rPr>
        <w:t xml:space="preserve"> </w:t>
      </w:r>
      <w:r>
        <w:rPr>
          <w:rFonts w:ascii="David" w:hAnsi="David"/>
          <w:color w:val="333333"/>
          <w:shd w:fill="FAFAFA" w:val="clear"/>
          <w:rtl w:val="true"/>
        </w:rPr>
        <w:t xml:space="preserve">בנבו </w:t>
      </w:r>
      <w:r>
        <w:rPr>
          <w:rFonts w:cs="David" w:ascii="David" w:hAnsi="David"/>
          <w:color w:val="333333"/>
          <w:shd w:fill="FAFAFA" w:val="clear"/>
        </w:rPr>
        <w:t>09.05.2022</w:t>
      </w:r>
      <w:r>
        <w:rPr>
          <w:rFonts w:cs="David" w:ascii="David" w:hAnsi="David"/>
          <w:color w:val="000000"/>
          <w:rtl w:val="true"/>
        </w:rPr>
        <w:t xml:space="preserve">) – </w:t>
      </w:r>
      <w:r>
        <w:rPr>
          <w:rFonts w:ascii="David" w:hAnsi="David"/>
          <w:color w:val="000000"/>
          <w:rtl w:val="true"/>
        </w:rPr>
        <w:t xml:space="preserve">בית המשפט החמיר בעונשו של נאשם שנגזרו עליו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בגין החזקת אקדח ובו מחסנית ריקה</w:t>
      </w:r>
      <w:r>
        <w:rPr>
          <w:rFonts w:cs="David" w:ascii="David" w:hAnsi="David"/>
          <w:color w:val="000000"/>
          <w:rtl w:val="true"/>
        </w:rPr>
        <w:t xml:space="preserve">,  </w:t>
      </w:r>
      <w:r>
        <w:rPr>
          <w:rFonts w:ascii="David" w:hAnsi="David"/>
          <w:color w:val="000000"/>
          <w:rtl w:val="true"/>
        </w:rPr>
        <w:t xml:space="preserve">והשית עליו </w:t>
      </w:r>
      <w:r>
        <w:rPr>
          <w:rFonts w:ascii="David" w:hAnsi="David"/>
          <w:b/>
          <w:b/>
          <w:bCs/>
          <w:color w:val="000000"/>
          <w:rtl w:val="true"/>
        </w:rPr>
        <w:t xml:space="preserve">מאסר בפועל למשך </w:t>
      </w:r>
      <w:r>
        <w:rPr>
          <w:rFonts w:cs="David" w:ascii="David" w:hAnsi="David"/>
          <w:b/>
          <w:bCs/>
          <w:color w:val="000000"/>
        </w:rPr>
        <w:t>12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765" w:start="1545" w:end="0"/>
        <w:contextualSpacing/>
        <w:jc w:val="both"/>
        <w:rPr>
          <w:rFonts w:cs="Times New Roman"/>
        </w:rPr>
      </w:pP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2141/21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חניני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27.05.2021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נדחה ערעורו של נאשם שהורשע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הודאתו בעבירה של החזקת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שהצטייד באקדח אוויר אשר בוצעו בו שינויים המאפשרים ירי של תחמושת בקליבר </w:t>
      </w:r>
      <w:r>
        <w:rPr>
          <w:rFonts w:cs="David" w:ascii="David" w:hAnsi="David"/>
        </w:rPr>
        <w:t>7.65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ובכוחו להמית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נידון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765" w:start="1545" w:end="0"/>
        <w:contextualSpacing/>
        <w:jc w:val="both"/>
        <w:rPr>
          <w:rFonts w:ascii="David" w:hAnsi="David" w:cs="David"/>
        </w:rPr>
      </w:pP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55185-02-20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עאדל אלנבארי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30.1.22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בית המשפט המחוזי בבאר שבע קבע מתחם של </w:t>
      </w:r>
      <w:r>
        <w:rPr>
          <w:rFonts w:cs="David" w:ascii="David" w:hAnsi="David"/>
        </w:rPr>
        <w:t>15-36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בגין החזקת אקדח חצי אוטומטי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טעון במחסנית ובה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ברכבו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ובסופו של יום גזר עליו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ומאסר מותנה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765" w:start="1545" w:end="0"/>
        <w:contextualSpacing/>
        <w:jc w:val="start"/>
        <w:rPr>
          <w:rFonts w:ascii="David" w:hAnsi="David" w:cs="David"/>
          <w:color w:val="000000"/>
        </w:rPr>
      </w:pP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נצ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2024-04-21</w:t>
        </w:r>
      </w:hyperlink>
      <w:r>
        <w:rPr>
          <w:rFonts w:cs="David" w:ascii="David" w:hAnsi="David"/>
          <w:color w:val="000000"/>
          <w:rtl w:val="true"/>
        </w:rPr>
        <w:t xml:space="preserve">‏ </w:t>
      </w:r>
      <w:r>
        <w:rPr>
          <w:rFonts w:ascii="David" w:hAnsi="David"/>
          <w:color w:val="000000"/>
          <w:rtl w:val="true"/>
        </w:rPr>
        <w:t>מדינת ישראל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חוסין מנדורי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ניתן ביום </w:t>
      </w:r>
      <w:r>
        <w:rPr>
          <w:rFonts w:cs="David" w:ascii="David" w:hAnsi="David"/>
          <w:color w:val="000000"/>
        </w:rPr>
        <w:t>29.6.21</w:t>
      </w:r>
      <w:r>
        <w:rPr>
          <w:rFonts w:cs="David" w:ascii="David" w:hAnsi="David"/>
          <w:color w:val="000000"/>
          <w:rtl w:val="true"/>
        </w:rPr>
        <w:t xml:space="preserve">) - </w:t>
      </w:r>
      <w:r>
        <w:rPr>
          <w:rFonts w:ascii="David" w:hAnsi="David"/>
          <w:color w:val="000000"/>
          <w:rtl w:val="true"/>
        </w:rPr>
        <w:t xml:space="preserve">בית המשפט המחוזי קיבל את ערעור המדינה בעניין קולת העונש שנגזר על המשיב שהורשע בעבירה של רכישה או החזקת נשק שלא כדין 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החמיר בעונש שהוטל על המשיב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קבע מתחם ענישה של </w:t>
      </w:r>
      <w:r>
        <w:rPr>
          <w:rFonts w:cs="David" w:ascii="David" w:hAnsi="David"/>
          <w:color w:val="000000"/>
        </w:rPr>
        <w:t>18-36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וגזר עליו עונש של </w:t>
      </w:r>
      <w:r>
        <w:rPr>
          <w:rFonts w:ascii="David" w:hAnsi="David"/>
          <w:b/>
          <w:b/>
          <w:bCs/>
          <w:color w:val="000000"/>
          <w:rtl w:val="true"/>
        </w:rPr>
        <w:t xml:space="preserve">מאסר בפועל לתקופה של </w:t>
      </w:r>
      <w:r>
        <w:rPr>
          <w:rFonts w:cs="David" w:ascii="David" w:hAnsi="David"/>
          <w:b/>
          <w:bCs/>
          <w:color w:val="000000"/>
        </w:rPr>
        <w:t>20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765" w:start="1545" w:end="0"/>
        <w:contextualSpacing/>
        <w:jc w:val="start"/>
        <w:rPr>
          <w:rFonts w:ascii="David" w:hAnsi="David" w:cs="David"/>
          <w:color w:val="000000"/>
        </w:rPr>
      </w:pP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64331-05-19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מדינת ישראל 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אבו קיעאן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ניתן ביום </w:t>
      </w:r>
      <w:r>
        <w:rPr>
          <w:rFonts w:cs="David" w:ascii="David" w:hAnsi="David"/>
          <w:color w:val="000000"/>
        </w:rPr>
        <w:t>14.4.22</w:t>
      </w:r>
      <w:r>
        <w:rPr>
          <w:rFonts w:cs="David" w:ascii="David" w:hAnsi="David"/>
          <w:color w:val="000000"/>
          <w:rtl w:val="true"/>
        </w:rPr>
        <w:t xml:space="preserve">) – </w:t>
      </w:r>
      <w:r>
        <w:rPr>
          <w:rFonts w:ascii="David" w:hAnsi="David"/>
          <w:color w:val="000000"/>
          <w:rtl w:val="true"/>
        </w:rPr>
        <w:t xml:space="preserve">בגין החזקת אקדח ומחסנית ובה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 בתא מטען ברכב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נגזרו על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 עבר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שהיה בן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 ביצוע 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</w:rPr>
        <w:t>13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קבע מתחם של </w:t>
      </w:r>
      <w:r>
        <w:rPr>
          <w:rFonts w:cs="David" w:ascii="David" w:hAnsi="David"/>
          <w:color w:val="000000"/>
        </w:rPr>
        <w:t>11-33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קראתי בעיון רב את פסקי הדין שהגיש הסניגור המלומד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המתייחסים לענישה מקלה 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לא מצאתי כי יש להביאם בחשבון לענין מדיניות הענישה הנהוגה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 חלקם ניתנו לפני מספר 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חלקם מתייחסים לנאשמים צעירים מאד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ובחלקם נסיבות אישיות חריגות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מכל האמור לעיל עולה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מצויים אנו כיום במצב חירום של ממש בעניין 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ולא בכדי </w:t>
      </w:r>
      <w:r>
        <w:rPr>
          <w:rFonts w:ascii="David" w:hAnsi="David"/>
          <w:rtl w:val="true"/>
        </w:rPr>
        <w:t>נתקבל לאחרונה תיקון 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b/>
          <w:b/>
          <w:bCs/>
          <w:rtl w:val="true"/>
        </w:rPr>
        <w:t>שלא חל בענייננו</w:t>
      </w:r>
      <w:r>
        <w:rPr>
          <w:rFonts w:ascii="David" w:hAnsi="David"/>
          <w:rtl w:val="true"/>
        </w:rPr>
        <w:t xml:space="preserve"> – הקובע עונשי מינימום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שהעונש שיושת על מבצעי עבירות אלו יתחיל מרבע העונש המרבי שנקבע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אם החליט בית המשפט מטעמים מיוחדים להקל בעונש </w:t>
      </w:r>
      <w:r>
        <w:rPr>
          <w:rFonts w:cs="David" w:ascii="David" w:hAnsi="David"/>
          <w:rtl w:val="true"/>
        </w:rPr>
        <w:t>(</w:t>
      </w:r>
      <w:hyperlink r:id="rId2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color w:val="000000"/>
          <w:rtl w:val="true"/>
        </w:rPr>
        <w:t>חוק העונשין</w:t>
      </w:r>
      <w:r>
        <w:rPr>
          <w:rFonts w:cs="David" w:ascii="David" w:hAnsi="David"/>
          <w:rtl w:val="true"/>
        </w:rPr>
        <w:t>, (</w:t>
      </w:r>
      <w:r>
        <w:rPr>
          <w:rFonts w:ascii="David" w:hAnsi="David"/>
          <w:rtl w:val="true"/>
        </w:rPr>
        <w:t xml:space="preserve">וראו חוק העונשין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</w:t>
      </w:r>
      <w:r>
        <w:rPr>
          <w:rFonts w:cs="David" w:ascii="David" w:hAnsi="David"/>
        </w:rPr>
        <w:t>472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התיקון לחוק לא חל בענייננו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מאחר שהמעשים בהם הורשע הנאשם נעשו עוד קודם לתיקון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אך יש בו כדי לשקף את רצון המחוקק להחמיר בענישה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מקובלת עליי עמדת המאשימה לפיה </w:t>
      </w:r>
      <w:r>
        <w:rPr>
          <w:rFonts w:ascii="David" w:hAnsi="David"/>
          <w:color w:val="000000"/>
          <w:shd w:fill="FFFFFF" w:val="clear"/>
          <w:rtl w:val="true"/>
        </w:rPr>
        <w:t>אף שהתיקון לחוק אינו חל בענייננו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הרי שעל בית משפט לפעול ברוח התיקון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ולהחמיר בדינו של הנאשם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עוד אציין כי הצורך בהחמרת הענישה ובהרתעה מפני ביצוע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 גם הטלת קנס כספי על מי שהורשע בעבירות 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לעיתים המניע לביצוע עבירת הנשק הוא הפוטנציאל לרווח כלכלי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במקרים כאלה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הצדקה להטלת קנסות כבדים על מנת לפגוע במוטיבציה הכלכלית שבבסיסה של העבירה ובכך לתרום להרתעת עבריינים פוטנציאליים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של הרשעה בעבירת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נוסף על רכיב המאסר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ככלל על הענישה לכלול גם רכיב של 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Calibri" w:hAnsi="Calibri" w:cs="Arial"/>
        </w:rPr>
      </w:pPr>
      <w:r>
        <w:rPr>
          <w:rFonts w:ascii="David" w:hAnsi="David"/>
          <w:rtl w:val="true"/>
        </w:rPr>
        <w:t>בהינתן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המגמה המובהקת בפסיקת בתי המשפט להחמיר בענישה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קובעת כי מתחם העונש ההולם הוא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ענישה נלווית הכוללת אף 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257" w:before="0" w:after="160"/>
        <w:ind w:start="1545" w:end="0"/>
        <w:contextualSpacing/>
        <w:jc w:val="start"/>
        <w:rPr>
          <w:rFonts w:ascii="Calibri" w:hAnsi="Calibri" w:cs="Arial"/>
        </w:rPr>
      </w:pPr>
      <w:r>
        <w:rPr>
          <w:rFonts w:cs="Arial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קיימים שיקולים אשר מצדיקים סטייה מהמתחם לחומרא או לקולא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מצאתי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השתקם או קיים סיכוי של ממש שישתקם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המצדיק חריגה ממתחם העונש ההולם וקביעת עונשו של הנאשם לפי שיקולי שיקומו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מדובר במקרה של חומרה יתרה שבו רשאי בית המשפט לסטות ממתחם העונש ההולם אך בנסיבות מיוחדות ויוצאות דופן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Arial"/>
        </w:rPr>
      </w:pPr>
      <w:r>
        <w:rPr>
          <w:rFonts w:cs="Arial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העונש המתאים בגדרי המתחם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בגזירת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יתחשב בית המשפט בשיקולים כלליים ובשיקולים פרטניים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שאינם קשורים בנסיבות 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שבפניי מן הראוי לתת את הדעת לנסיבות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tLeast" w:line="360" w:before="0" w:after="160"/>
        <w:ind w:start="36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 נעדר עבר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הודה במיוחס לו 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חסך זמן שיפוטי יקר ונטל אחריות על 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בשירות המבחן תיאר את מעשיו ואת הרקע להם בפתיחות ובכנות 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שירות המבחן ציין כי מדובר בנטילת אחריות חלקית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המצמצמת את חומרת העבירות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tLeast" w:line="360" w:before="0" w:after="160"/>
        <w:ind w:start="360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>הנאשם התנהל באופן נורמטיבי יחסי הן במישור המשפחתי והן במישור התעסוקתי עד לביצוע האירועים המפורטים בכתב האישום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 המבחן הדגיש את חבירת הנאשם לגורמים שוליים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וקושי לעמוד בלחצים חברתיים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 כן הצורך בהרתעת היחיד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tLeast" w:line="360" w:before="0" w:after="16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לקחתי בחשבון את המצב הרפואי המורכב של שניים מילדיו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ואת מעורבותו בטיפול בהם</w:t>
      </w:r>
      <w:r>
        <w:rPr>
          <w:rFonts w:cs="David" w:ascii="David" w:hAnsi="David"/>
          <w:color w:val="000000"/>
          <w:rtl w:val="true"/>
        </w:rPr>
        <w:t>. (</w:t>
      </w:r>
      <w:r>
        <w:rPr>
          <w:rFonts w:ascii="David" w:hAnsi="David"/>
          <w:color w:val="000000"/>
          <w:rtl w:val="true"/>
        </w:rPr>
        <w:t>אסמכתאות רפואיות הוגשו רק לגבי אחד מהם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עם זאת 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כפי שנקבע בפסיקה עקבית של בית המשפט 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הגלום בהן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לאינטרס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הרתעה 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לנסיבותיו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>. 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למשל</w:t>
      </w:r>
      <w:r>
        <w:rPr>
          <w:rFonts w:cs="David" w:ascii="David" w:hAnsi="David"/>
          <w:color w:val="000000"/>
          <w:rtl w:val="true"/>
        </w:rPr>
        <w:t xml:space="preserve">: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בראנסי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פסקה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u w:val="single"/>
          <w:rtl w:val="true"/>
        </w:rPr>
        <w:t>(</w:t>
      </w:r>
      <w:r>
        <w:rPr>
          <w:rFonts w:cs="David" w:ascii="David" w:hAnsi="David"/>
          <w:color w:val="000000"/>
          <w:u w:val="single"/>
        </w:rPr>
        <w:t>16.8.18</w:t>
      </w:r>
      <w:r>
        <w:rPr>
          <w:rFonts w:cs="David" w:ascii="David" w:hAnsi="David"/>
          <w:color w:val="000000"/>
          <w:u w:val="single"/>
          <w:rtl w:val="true"/>
        </w:rPr>
        <w:t>))</w:t>
      </w:r>
    </w:p>
    <w:p>
      <w:pPr>
        <w:pStyle w:val="Normal"/>
        <w:spacing w:lineRule="auto" w:line="257" w:before="0" w:after="160"/>
        <w:ind w:end="0"/>
        <w:jc w:val="start"/>
        <w:rPr>
          <w:rFonts w:ascii="David" w:hAnsi="David" w:cs="David"/>
          <w:color w:val="000000"/>
          <w:u w:val="single"/>
          <w:shd w:fill="FFFFFF" w:val="clear"/>
        </w:rPr>
      </w:pPr>
      <w:r>
        <w:rPr>
          <w:rFonts w:cs="David" w:ascii="David" w:hAnsi="David"/>
          <w:color w:val="000000"/>
          <w:u w:val="single"/>
          <w:shd w:fill="FFFFFF" w:val="clear"/>
          <w:rtl w:val="true"/>
        </w:rPr>
      </w:r>
    </w:p>
    <w:p>
      <w:pPr>
        <w:pStyle w:val="Normal"/>
        <w:spacing w:lineRule="auto" w:line="257" w:before="0" w:after="160"/>
        <w:ind w:start="720" w:end="0"/>
        <w:jc w:val="start"/>
        <w:rPr/>
      </w:pPr>
      <w:r>
        <w:rPr>
          <w:rFonts w:ascii="David" w:hAnsi="David"/>
          <w:color w:val="000000"/>
          <w:shd w:fill="FFFFFF" w:val="clear"/>
          <w:rtl w:val="true"/>
        </w:rPr>
        <w:t>ככלל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בעבירות אלו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יש לתת משקל לשיקולי הרתעת היחיד והרבים על מנת להגן על הציבור מפני השימוש בנשק חם המוחזק באופן בלתי חוקי</w:t>
      </w:r>
      <w:r>
        <w:rPr>
          <w:rFonts w:cs="Arial" w:ascii="Calibri" w:hAnsi="Calibri"/>
          <w:rtl w:val="true"/>
        </w:rPr>
        <w:t>.</w:t>
      </w:r>
    </w:p>
    <w:p>
      <w:pPr>
        <w:pStyle w:val="Normal"/>
        <w:shd w:fill="FFFFFF" w:val="clear"/>
        <w:spacing w:lineRule="atLeast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שירות המבחן המליץ להטיל על הנאשם מאסר בעבודת 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מצאתי לנכון לאמץ את ההמלצה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המלצות שירות המבחן הן אמנם חלק מהנתונים המובאים בחשבון בגזירת העונש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יש לזכור שבעוד שירות המבחן מתמקד בעיקר בנאשם ובהשלכות גזר הדין עליו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ביהמ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 להביא בחשבון לעניין גזר הדין שיקולים נוספים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ואלה מחייבים במקרה זה ענישה הכוללת מאסר בפועל לריצוי של ממש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Arial"/>
        </w:rPr>
      </w:pPr>
      <w:r>
        <w:rPr>
          <w:rFonts w:cs="Arial" w:ascii="Calibri" w:hAnsi="Calibri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257" w:before="0" w:after="1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ששקלתי את מכלול השיקולים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מטילה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tLeast" w:line="360" w:before="0" w:after="160"/>
        <w:ind w:hanging="360" w:start="1080" w:end="0"/>
        <w:jc w:val="both"/>
        <w:rPr/>
      </w:pP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.     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בניכוי ימי מעצרו בהתאם לרישומי 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tLeast" w:line="360" w:before="0" w:after="160"/>
        <w:ind w:hanging="360" w:start="1080" w:end="0"/>
        <w:jc w:val="both"/>
        <w:rPr/>
      </w:pP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 xml:space="preserve">.       </w:t>
      </w:r>
      <w:r>
        <w:rPr>
          <w:rFonts w:ascii="David" w:hAnsi="David"/>
          <w:color w:val="000000"/>
          <w:rtl w:val="true"/>
        </w:rPr>
        <w:t xml:space="preserve">מאסר על תנאי לתקופה של 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המאסר המותנה יופעל אם תוך תקופה של    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שנים מיום שחרורו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יעבור הנאשם עבירות נשק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tLeast" w:line="360" w:before="0" w:after="160"/>
        <w:ind w:hanging="360" w:start="1080" w:end="0"/>
        <w:jc w:val="both"/>
        <w:rPr/>
      </w:pP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.       </w:t>
      </w:r>
      <w:r>
        <w:rPr>
          <w:rFonts w:ascii="David" w:hAnsi="David"/>
          <w:color w:val="000000"/>
          <w:rtl w:val="true"/>
        </w:rPr>
        <w:t xml:space="preserve">קנס בסך </w:t>
      </w:r>
      <w:r>
        <w:rPr>
          <w:rFonts w:cs="David" w:ascii="David" w:hAnsi="David"/>
          <w:color w:val="000000"/>
        </w:rPr>
        <w:t>10,000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/>
          <w:color w:val="000000"/>
          <w:rtl w:val="true"/>
        </w:rPr>
        <w:t>או חודש מאסר תמורתו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tLeast" w:line="360" w:before="0" w:after="160"/>
        <w:ind w:firstLine="18" w:start="1076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הקנס ישולם 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תשלומים חודשיים שווים ורצופים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החל מיום </w:t>
      </w:r>
      <w:r>
        <w:rPr>
          <w:rFonts w:cs="David" w:ascii="David" w:hAnsi="David"/>
          <w:color w:val="000000"/>
        </w:rPr>
        <w:t>1.9.22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תשומת לב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אי עמידה בתשלום תביא להעמדת הסכום כולו לפירעון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את הקנס ניתן לשלם באחת מהדרכים הבאות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תשלום בכרטיס אשראי באמצעות האתר המקוון של רשות האכיפה והגבייה בכתובת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28"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www.eca.gov.il</w:t>
        </w:r>
      </w:hyperlink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תשלום בשירות עצמי באמצעות מוקד שירות טלפוני של מרכז הגבייה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בטלפון שמספרו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>או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073-205-5000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תשלום במזומן בכל סניף של בנק הדואר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בהצגת תעודת זהות בלבד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אין צורך בהצגת שוברי תשלום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tLeast" w:line="360" w:before="0" w:after="160"/>
        <w:ind w:firstLine="18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b/>
          <w:bCs/>
          <w:color w:val="FFFFFF"/>
        </w:rPr>
        <w:t>5129371</w:t>
      </w:r>
      <w:r>
        <w:rPr>
          <w:rFonts w:ascii="David" w:hAnsi="David"/>
          <w:b/>
          <w:b/>
          <w:bCs/>
          <w:color w:val="000000"/>
          <w:rtl w:val="true"/>
        </w:rPr>
        <w:t>ניתן בזאת צו להשמדת מוצגים – נשק ותחמושת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בכפוף לחלוף תקופת הערעור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Normal"/>
        <w:spacing w:lineRule="atLeast" w:line="360"/>
        <w:ind w:end="0"/>
        <w:jc w:val="both"/>
        <w:rPr>
          <w:rFonts w:cs="Times New Roman"/>
          <w:color w:val="000000"/>
        </w:rPr>
      </w:pPr>
      <w:r>
        <w:rPr>
          <w:rFonts w:cs="David" w:ascii="David" w:hAnsi="David"/>
          <w:b/>
          <w:bCs/>
          <w:color w:val="FFFFFF"/>
        </w:rPr>
        <w:t>54678313</w:t>
      </w:r>
      <w:r>
        <w:rPr>
          <w:rFonts w:ascii="David" w:hAnsi="David"/>
          <w:b/>
          <w:b/>
          <w:bCs/>
          <w:color w:val="000000"/>
          <w:rtl w:val="true"/>
        </w:rPr>
        <w:t>זכות ערעור כחוק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Normal"/>
        <w:ind w:end="0"/>
        <w:jc w:val="start"/>
        <w:rPr>
          <w:rFonts w:cs="Times New Roman"/>
          <w:color w:val="000000"/>
          <w:sz w:val="27"/>
          <w:szCs w:val="27"/>
        </w:rPr>
      </w:pPr>
      <w:r>
        <w:rPr>
          <w:rFonts w:eastAsia="David" w:cs="David" w:ascii="David" w:hAnsi="David"/>
          <w:color w:val="000000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Arial"/>
          <w:color w:val="000000"/>
          <w:sz w:val="27"/>
          <w:szCs w:val="27"/>
        </w:rPr>
      </w:pPr>
      <w:r>
        <w:rPr>
          <w:rFonts w:cs="Arial" w:ascii="Calibri" w:hAnsi="Calibri"/>
          <w:color w:val="000000"/>
          <w:sz w:val="27"/>
          <w:szCs w:val="27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Arial"/>
        </w:rPr>
      </w:pPr>
      <w:r>
        <w:rPr>
          <w:rFonts w:cs="Arial" w:ascii="Calibri" w:hAnsi="Calibri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Arial"/>
        </w:rPr>
      </w:pPr>
      <w:r>
        <w:rPr>
          <w:rFonts w:cs="Arial" w:ascii="Calibri" w:hAnsi="Calibri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אחינעם צוריאל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54807-01-21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זהר אלבחירי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545" w:hanging="765"/>
      </w:pPr>
      <w:rPr>
        <w:rFonts w:ascii="David" w:hAnsi="David" w:cs="David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David" w:hAnsi="David" w:cs="David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g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5824863" TargetMode="External"/><Relationship Id="rId11" Type="http://schemas.openxmlformats.org/officeDocument/2006/relationships/hyperlink" Target="http://www.nevo.co.il/case/5601503" TargetMode="External"/><Relationship Id="rId12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case/6473037" TargetMode="External"/><Relationship Id="rId14" Type="http://schemas.openxmlformats.org/officeDocument/2006/relationships/hyperlink" Target="http://www.nevo.co.il/case/13015506" TargetMode="External"/><Relationship Id="rId15" Type="http://schemas.openxmlformats.org/officeDocument/2006/relationships/hyperlink" Target="http://www.nevo.co.il/case/28513828" TargetMode="External"/><Relationship Id="rId16" Type="http://schemas.openxmlformats.org/officeDocument/2006/relationships/hyperlink" Target="http://www.nevo.co.il/case/28229995" TargetMode="External"/><Relationship Id="rId17" Type="http://schemas.openxmlformats.org/officeDocument/2006/relationships/hyperlink" Target="http://www.nevo.co.il/case/27894608" TargetMode="External"/><Relationship Id="rId18" Type="http://schemas.openxmlformats.org/officeDocument/2006/relationships/hyperlink" Target="http://www.nevo.co.il/case/28619472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case/28331430" TargetMode="External"/><Relationship Id="rId21" Type="http://schemas.openxmlformats.org/officeDocument/2006/relationships/hyperlink" Target="http://www.nevo.co.il/case/27502726" TargetMode="External"/><Relationship Id="rId22" Type="http://schemas.openxmlformats.org/officeDocument/2006/relationships/hyperlink" Target="http://www.nevo.co.il/case/26483432" TargetMode="External"/><Relationship Id="rId23" Type="http://schemas.openxmlformats.org/officeDocument/2006/relationships/hyperlink" Target="http://www.nevo.co.il/case/27510949" TargetMode="External"/><Relationship Id="rId24" Type="http://schemas.openxmlformats.org/officeDocument/2006/relationships/hyperlink" Target="http://www.nevo.co.il/case/25732840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g" TargetMode="External"/><Relationship Id="rId27" Type="http://schemas.openxmlformats.org/officeDocument/2006/relationships/hyperlink" Target="http://www.nevo.co.il/case/23750625" TargetMode="External"/><Relationship Id="rId28" Type="http://schemas.openxmlformats.org/officeDocument/2006/relationships/hyperlink" Target="http://www.eca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2023-08-31T10:45:00Z</dcterms:created>
  <dc:creator> </dc:creator>
  <dc:description/>
  <cp:keywords/>
  <dc:language>en-IL</dc:language>
  <cp:lastModifiedBy>h1</cp:lastModifiedBy>
  <dcterms:modified xsi:type="dcterms:W3CDTF">2023-08-31T10:45:00Z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זהר אלבחירי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25824863;5601503;6473037;13015506;28513828;28229995;27894608;28619472;28331430;27502726;26483432;27510949;25732840;23750625</vt:lpwstr>
  </property>
  <property fmtid="{D5CDD505-2E9C-101B-9397-08002B2CF9AE}" pid="9" name="CITY">
    <vt:lpwstr>ב"ש</vt:lpwstr>
  </property>
  <property fmtid="{D5CDD505-2E9C-101B-9397-08002B2CF9AE}" pid="10" name="DATE">
    <vt:lpwstr>20220703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אחינעם צוריאל</vt:lpwstr>
  </property>
  <property fmtid="{D5CDD505-2E9C-101B-9397-08002B2CF9AE}" pid="14" name="LAWLISTTMP1">
    <vt:lpwstr>70301/144.a:3;040i;144.g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54807</vt:lpwstr>
  </property>
  <property fmtid="{D5CDD505-2E9C-101B-9397-08002B2CF9AE}" pid="22" name="NEWPARTB">
    <vt:lpwstr>01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380020220703</vt:lpwstr>
  </property>
  <property fmtid="{D5CDD505-2E9C-101B-9397-08002B2CF9AE}" pid="34" name="TYPE_N_DATE">
    <vt:lpwstr>38020220703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