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54852-03-21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רחים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ליטל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איהב עבד אל רחים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איהאב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לג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הורשע במסגרת הסדר טיעון בעובדות כתב אישום מתוקן </w:t>
      </w:r>
      <w:r>
        <w:rPr>
          <w:b/>
          <w:b/>
          <w:bCs/>
          <w:rtl w:val="true"/>
        </w:rPr>
        <w:t xml:space="preserve">בעבירת נשיאה והובלת נשק ותחמושת לפי </w:t>
      </w:r>
      <w:hyperlink r:id="rId4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ל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החוק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11.12.20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נשא הנאשם נשק מסוג שאינו ידוע</w:t>
      </w:r>
      <w:r>
        <w:rPr>
          <w:rtl w:val="true"/>
        </w:rPr>
        <w:t xml:space="preserve">, </w:t>
      </w:r>
      <w:r>
        <w:rPr>
          <w:rtl w:val="true"/>
        </w:rPr>
        <w:t>והצטלם עמו מספר תמונות בעודו רעול פנים</w:t>
      </w:r>
      <w:r>
        <w:rPr>
          <w:rtl w:val="true"/>
        </w:rPr>
        <w:t xml:space="preserve">. </w:t>
      </w:r>
      <w:r>
        <w:rPr>
          <w:rtl w:val="true"/>
        </w:rPr>
        <w:t xml:space="preserve">במועד זה העביר אחר את התמונות לטלפון הנייד של הנאשם באמצעות יישומון </w:t>
      </w:r>
      <w:r>
        <w:rPr>
          <w:rtl w:val="true"/>
        </w:rPr>
        <w:t>"</w:t>
      </w:r>
      <w:r>
        <w:rPr>
          <w:rtl w:val="true"/>
        </w:rPr>
        <w:t>ווטסאפ</w:t>
      </w:r>
      <w:r>
        <w:rPr>
          <w:rtl w:val="true"/>
        </w:rPr>
        <w:t xml:space="preserve">".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9" w:name="ABSTRACT_END"/>
      <w:bookmarkEnd w:id="9"/>
      <w:r>
        <w:rPr>
          <w:rtl w:val="true"/>
        </w:rPr>
        <w:t xml:space="preserve">ביום </w:t>
      </w:r>
      <w:r>
        <w:rPr/>
        <w:t>14.9.21</w:t>
      </w:r>
      <w:r>
        <w:rPr>
          <w:rtl w:val="true"/>
        </w:rPr>
        <w:t xml:space="preserve"> </w:t>
      </w:r>
      <w:r>
        <w:rPr>
          <w:rtl w:val="true"/>
        </w:rPr>
        <w:t>הציגו הצדדים הסדר טיעון דיוני</w:t>
      </w:r>
      <w:r>
        <w:rPr>
          <w:rtl w:val="true"/>
        </w:rPr>
        <w:t xml:space="preserve">, </w:t>
      </w:r>
      <w:r>
        <w:rPr>
          <w:rtl w:val="true"/>
        </w:rPr>
        <w:t>במסגרתו הודה והורשע הנאשם בעובדות כתב האישום המתוקן והופנה לתסקיר חובה של שירות המבחן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על פי התסקיר הראשון </w:t>
      </w:r>
      <w:r>
        <w:rPr>
          <w:rtl w:val="true"/>
        </w:rPr>
        <w:t>(</w:t>
      </w:r>
      <w:r>
        <w:rPr/>
        <w:t>15.6.22</w:t>
      </w:r>
      <w:r>
        <w:rPr>
          <w:rtl w:val="true"/>
        </w:rPr>
        <w:t xml:space="preserve">) </w:t>
      </w:r>
      <w:r>
        <w:rPr>
          <w:rtl w:val="true"/>
        </w:rPr>
        <w:t xml:space="preserve">הנאשם בן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 xml:space="preserve">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במגמת קונדיטוריה</w:t>
      </w:r>
      <w:r>
        <w:rPr>
          <w:rtl w:val="true"/>
        </w:rPr>
        <w:t xml:space="preserve">,  </w:t>
      </w:r>
      <w:r>
        <w:rPr>
          <w:rtl w:val="true"/>
        </w:rPr>
        <w:t>במקביל ללימודיו החל לעבוד כדי  לסייע בפרנסת המשפחה</w:t>
      </w:r>
      <w:r>
        <w:rPr>
          <w:rtl w:val="true"/>
        </w:rPr>
        <w:t xml:space="preserve">. </w:t>
      </w:r>
      <w:r>
        <w:rPr>
          <w:rtl w:val="true"/>
        </w:rPr>
        <w:t>לפני כשנתיים אובחן כחולה בסכרת נעורים והתמודד עם משבר בריאותי גופני ורגשי וסבל מדימוי עצמי נמוך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מצא את הנשק באופן מקרי במהלך בילוי עם חברים והצטלם עמו מתוך סקרנות ולהוכחת גבריות כשבזמן אמת לא חשב על השלכות מעשיו</w:t>
      </w:r>
      <w:r>
        <w:rPr>
          <w:rtl w:val="true"/>
        </w:rPr>
        <w:t xml:space="preserve">. </w:t>
      </w:r>
      <w:r>
        <w:rPr>
          <w:rtl w:val="true"/>
        </w:rPr>
        <w:t>הנאשם הביע חרטה על ביצוע העבירה וביטא הבנה להשלכותיה וחומרת מעורבותו בה</w:t>
      </w:r>
      <w:r>
        <w:rPr>
          <w:rtl w:val="true"/>
        </w:rPr>
        <w:t xml:space="preserve">. </w:t>
      </w:r>
      <w:r>
        <w:rPr>
          <w:rtl w:val="true"/>
        </w:rPr>
        <w:t>עוד תיאר את תקופת מעצרו בבית המעצר</w:t>
      </w:r>
      <w:r>
        <w:rPr>
          <w:rtl w:val="true"/>
        </w:rPr>
        <w:t xml:space="preserve">, </w:t>
      </w:r>
      <w:r>
        <w:rPr>
          <w:rtl w:val="true"/>
        </w:rPr>
        <w:t>כחודשיים וחצי</w:t>
      </w:r>
      <w:r>
        <w:rPr>
          <w:rtl w:val="true"/>
        </w:rPr>
        <w:t xml:space="preserve">, </w:t>
      </w:r>
      <w:r>
        <w:rPr>
          <w:rtl w:val="true"/>
        </w:rPr>
        <w:t>כטראומטית</w:t>
      </w:r>
      <w:r>
        <w:rPr>
          <w:rtl w:val="true"/>
        </w:rPr>
        <w:t xml:space="preserve">, </w:t>
      </w:r>
      <w:r>
        <w:rPr>
          <w:rtl w:val="true"/>
        </w:rPr>
        <w:t>בה התקשה להסתגל לתנאיו וחווה תחושות של פחד וחרדה</w:t>
      </w:r>
      <w:r>
        <w:rPr>
          <w:rtl w:val="true"/>
        </w:rPr>
        <w:t xml:space="preserve">. </w:t>
      </w:r>
      <w:r>
        <w:rPr>
          <w:rtl w:val="true"/>
        </w:rPr>
        <w:t>במהלך ההליך המשפטי ניתק קשרים חברתיים בעייתיים</w:t>
      </w:r>
      <w:r>
        <w:rPr>
          <w:rtl w:val="true"/>
        </w:rPr>
        <w:t xml:space="preserve">. </w:t>
      </w:r>
      <w:r>
        <w:rPr>
          <w:rtl w:val="true"/>
        </w:rPr>
        <w:t>הנאשם היה נתון בתנאי איזוק ושולב בקבוצת עצורי בית</w:t>
      </w:r>
      <w:r>
        <w:rPr>
          <w:rtl w:val="true"/>
        </w:rPr>
        <w:t xml:space="preserve">, </w:t>
      </w:r>
      <w:r>
        <w:rPr>
          <w:rtl w:val="true"/>
        </w:rPr>
        <w:t>טרם מעצרו נהג להשתמש בסמים קלים אך מזה כשמונה חודשים שומר על תפקוד תקין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התייצב לבדיקות שתן אליהן זומן ועל כן ביקש  שירות המבחן שהות של חודשיים לבדיקת הנושא וגיבוש עמדה והמלצות סופיות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מהתסקיר המשלים </w:t>
      </w:r>
      <w:r>
        <w:rPr>
          <w:rtl w:val="true"/>
        </w:rPr>
        <w:t>(</w:t>
      </w:r>
      <w:r>
        <w:rPr/>
        <w:t>3.10.22</w:t>
      </w:r>
      <w:r>
        <w:rPr>
          <w:rtl w:val="true"/>
        </w:rPr>
        <w:t xml:space="preserve">), </w:t>
      </w:r>
      <w:r>
        <w:rPr>
          <w:rtl w:val="true"/>
        </w:rPr>
        <w:t>עולה שהנאשם מסר שלוש בדיקות שתן נקיות ולשני מועדים לא התייצב עקב התדרדרות מצבו הבריאותי</w:t>
      </w:r>
      <w:r>
        <w:rPr>
          <w:rtl w:val="true"/>
        </w:rPr>
        <w:t xml:space="preserve">, </w:t>
      </w:r>
      <w:r>
        <w:rPr>
          <w:rtl w:val="true"/>
        </w:rPr>
        <w:t xml:space="preserve">בעקבותיה אף התפטר מעבודתו ונקבעו לו  </w:t>
      </w:r>
      <w:r>
        <w:rPr/>
        <w:t>45%</w:t>
      </w:r>
      <w:r>
        <w:rPr>
          <w:rtl w:val="true"/>
        </w:rPr>
        <w:t xml:space="preserve"> </w:t>
      </w:r>
      <w:r>
        <w:rPr>
          <w:rtl w:val="true"/>
        </w:rPr>
        <w:t>נכות רפואית</w:t>
      </w:r>
      <w:r>
        <w:rPr>
          <w:rtl w:val="true"/>
        </w:rPr>
        <w:t xml:space="preserve">. </w:t>
      </w:r>
      <w:r>
        <w:rPr>
          <w:rtl w:val="true"/>
        </w:rPr>
        <w:t>להערכת שירות המבחן מדובר בנאשם צעיר בעל אישיות בלתי בשלה ומגובשת</w:t>
      </w:r>
      <w:r>
        <w:rPr>
          <w:rtl w:val="true"/>
        </w:rPr>
        <w:t xml:space="preserve">, </w:t>
      </w:r>
      <w:r>
        <w:rPr>
          <w:rtl w:val="true"/>
        </w:rPr>
        <w:t>שומר על תפקוד תקין ובעל מוטיבציה להשתלב בתכנית טיפולית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באו בהמלצה להסתפק בענישת עבודות שירות ברף נמוך ולהעמידו בצו מבחן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באמצעות ב</w:t>
      </w:r>
      <w:r>
        <w:rPr>
          <w:rtl w:val="true"/>
        </w:rPr>
        <w:t>"</w:t>
      </w:r>
      <w:r>
        <w:rPr>
          <w:rtl w:val="true"/>
        </w:rPr>
        <w:t>כ עו</w:t>
      </w:r>
      <w:r>
        <w:rPr>
          <w:rtl w:val="true"/>
        </w:rPr>
        <w:t>"</w:t>
      </w:r>
      <w:r>
        <w:rPr>
          <w:rtl w:val="true"/>
        </w:rPr>
        <w:t>ד פינק</w:t>
      </w:r>
      <w:r>
        <w:rPr>
          <w:rtl w:val="true"/>
        </w:rPr>
        <w:t xml:space="preserve">, </w:t>
      </w:r>
      <w:r>
        <w:rPr>
          <w:rtl w:val="true"/>
        </w:rPr>
        <w:t>עמדה בטיעוניה על חומרת מעשיו</w:t>
      </w:r>
      <w:r>
        <w:rPr>
          <w:rtl w:val="true"/>
        </w:rPr>
        <w:t xml:space="preserve">, </w:t>
      </w:r>
      <w:r>
        <w:rPr>
          <w:rtl w:val="true"/>
        </w:rPr>
        <w:t>פגיעתם בערכים המוגנים של הגנה על שלום הציבור וביטחונו והסיכון הרב הגלום בהם</w:t>
      </w:r>
      <w:r>
        <w:rPr>
          <w:rtl w:val="true"/>
        </w:rPr>
        <w:t xml:space="preserve">. </w:t>
      </w:r>
      <w:r>
        <w:rPr>
          <w:rtl w:val="true"/>
        </w:rPr>
        <w:t>עוד עמדה על מגמת ההחמרה בענישה בעבירות נשק המשתקפת בפסיקת בית המשפט העליון ותיקון החוק</w:t>
      </w:r>
      <w:r>
        <w:rPr>
          <w:rtl w:val="true"/>
        </w:rPr>
        <w:t xml:space="preserve">. </w:t>
      </w:r>
      <w:r>
        <w:rPr>
          <w:rtl w:val="true"/>
        </w:rPr>
        <w:t xml:space="preserve">לפיכך עתרה למתחם ענישה הנע בין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בצד ענישה נלווית של מאסר על תנאי וקנס בסך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ציינה לקולה את הודאת הנאשם</w:t>
      </w:r>
      <w:r>
        <w:rPr>
          <w:rtl w:val="true"/>
        </w:rPr>
        <w:t xml:space="preserve">, </w:t>
      </w:r>
      <w:r>
        <w:rPr>
          <w:rtl w:val="true"/>
        </w:rPr>
        <w:t>גילו הצעיר והיעדר עבר פלילי אך סבורה שהמלצת שירות המבחן לענישה שיקומית אינה מבוססת והנאשם לא שולב בהליך טיפולי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המאשימה הגישה אסופת פסיקה לתמיכה בעתירתה העונשית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</w:t>
      </w:r>
      <w:r>
        <w:rPr>
          <w:rtl w:val="true"/>
        </w:rPr>
        <w:t xml:space="preserve">, </w:t>
      </w:r>
      <w:r>
        <w:rPr>
          <w:rtl w:val="true"/>
        </w:rPr>
        <w:t>ביקש לאמץ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סבור שמדובר בעבירת נשק ברף נמוך ועמדת המאשימה מחמירה יתר על המידה</w:t>
      </w:r>
      <w:r>
        <w:rPr>
          <w:rtl w:val="true"/>
        </w:rPr>
        <w:t xml:space="preserve">. </w:t>
      </w:r>
      <w:r>
        <w:rPr>
          <w:rtl w:val="true"/>
        </w:rPr>
        <w:t>עוד עמד על גילו הצעיר של הנאשם</w:t>
      </w:r>
      <w:r>
        <w:rPr>
          <w:rtl w:val="true"/>
        </w:rPr>
        <w:t xml:space="preserve">, </w:t>
      </w:r>
      <w:r>
        <w:rPr>
          <w:rtl w:val="true"/>
        </w:rPr>
        <w:t>עברו הנקי</w:t>
      </w:r>
      <w:r>
        <w:rPr>
          <w:rtl w:val="true"/>
        </w:rPr>
        <w:t xml:space="preserve">, </w:t>
      </w:r>
      <w:r>
        <w:rPr>
          <w:rtl w:val="true"/>
        </w:rPr>
        <w:t>מצבו הרפואי וחריגות המעשה בנוף חייו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eastAsia="Times New Roman" w:cs="Times New Roman" w:ascii="Times New Roman" w:hAnsi="Times New Roman"/>
        </w:rPr>
        <w:t>113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פ הוראות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בדרכו של עקרון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בית המשפט לקבוע מתחם עונש הולם למעשה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מתחשב בערך החברתי המוגן שנפגע ומידת הפגיעה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במדיניות הענישה הנהוגה ובנסיבותיה הקונקרטיות של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בשלב הבא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שנקבע מתחם העונש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ובית המשפט לא מצא מקום לחרוג ממנו לקולא או לחומרא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נקבע העונש הראוי תוך התחשבות בנסיבות העושה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דומה שאין צורך להכביר מילים ביחס לחומרתן של עבירות הנשק והסיכון הנשקף מהן לשלום הציבור וביטחונו</w:t>
      </w:r>
      <w:r>
        <w:rPr>
          <w:rtl w:val="true"/>
        </w:rPr>
        <w:t xml:space="preserve">, </w:t>
      </w:r>
      <w:r>
        <w:rPr>
          <w:rtl w:val="true"/>
        </w:rPr>
        <w:t>למרבה הצער עבירות בנשק חם הפכו להיות תופעה נפוצה במחוזותינו ולעיתים תכופות אנו עדי לנזקי עבירות אלו</w:t>
      </w:r>
      <w:r>
        <w:rPr>
          <w:rtl w:val="true"/>
        </w:rPr>
        <w:t xml:space="preserve">, </w:t>
      </w:r>
      <w:r>
        <w:rPr>
          <w:rtl w:val="true"/>
        </w:rPr>
        <w:t>בדמות פגיעות בגוף או בנפש</w:t>
      </w:r>
      <w:r>
        <w:rPr>
          <w:rtl w:val="true"/>
        </w:rPr>
        <w:t xml:space="preserve">, </w:t>
      </w:r>
      <w:r>
        <w:rPr>
          <w:rtl w:val="true"/>
        </w:rPr>
        <w:t xml:space="preserve">ואף אובדן חיי אדם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עבסה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23.1.2022</w:t>
      </w:r>
      <w:r>
        <w:rPr>
          <w:rtl w:val="true"/>
        </w:rPr>
        <w:t xml:space="preserve">). </w:t>
      </w:r>
      <w:r>
        <w:rPr>
          <w:rtl w:val="true"/>
        </w:rPr>
        <w:t>נוכח מימדיה המדאיגים של התופעה נרתמו גם בית המשפט למאבק למיגורה הניכר במגמת החמרה מובהקת ברמת הענישה ומתן משקל בכורה לשיקול ההרתעתי</w:t>
      </w:r>
      <w:r>
        <w:rPr>
          <w:rtl w:val="true"/>
        </w:rPr>
        <w:t xml:space="preserve">. </w:t>
      </w:r>
      <w:r>
        <w:rPr>
          <w:rFonts w:eastAsia="Calibri" w:cs="Calibri" w:ascii="Calibri" w:hAnsi="Calibri"/>
          <w:rtl w:val="true"/>
        </w:rPr>
        <w:t>"</w:t>
      </w:r>
      <w:r>
        <w:rPr>
          <w:rFonts w:eastAsia="Calibri"/>
          <w:b/>
          <w:b/>
          <w:bCs/>
          <w:rtl w:val="true"/>
        </w:rPr>
        <w:t>ההלכה כי בעת גזירת עונשו של מי שהורשע בעבירות נשק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על בית המשפט לבכר את האינטרס הציבורי שבהרתעת הרבים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על פני נסיבותיו האישיות של הנידון</w:t>
      </w:r>
      <w:r>
        <w:rPr>
          <w:rFonts w:eastAsia="Calibri"/>
          <w:rtl w:val="true"/>
        </w:rPr>
        <w:t>" (</w:t>
      </w:r>
      <w:hyperlink r:id="rId7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/>
            <w:color w:val="0000FF"/>
            <w:u w:val="single"/>
          </w:rPr>
          <w:t>587/22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עדאב אבו נאעסה 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מדינת ישראל</w:t>
      </w:r>
      <w:r>
        <w:rPr>
          <w:rFonts w:eastAsia="Calibri"/>
          <w:rtl w:val="true"/>
        </w:rPr>
        <w:t xml:space="preserve"> פסקה </w:t>
      </w:r>
      <w:r>
        <w:rPr>
          <w:rFonts w:eastAsia="Calibri"/>
        </w:rPr>
        <w:t>13</w:t>
      </w:r>
      <w:r>
        <w:rPr>
          <w:rFonts w:eastAsia="Calibri"/>
          <w:rtl w:val="true"/>
        </w:rPr>
        <w:t xml:space="preserve"> (</w:t>
      </w:r>
      <w:r>
        <w:rPr>
          <w:rFonts w:eastAsia="Calibri"/>
        </w:rPr>
        <w:t>22.5.2022</w:t>
      </w:r>
      <w:r>
        <w:rPr>
          <w:rFonts w:eastAsia="Calibri"/>
          <w:rtl w:val="true"/>
        </w:rPr>
        <w:t xml:space="preserve">))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 קדורה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5-6</w:t>
      </w:r>
      <w:r>
        <w:rPr>
          <w:rtl w:val="true"/>
        </w:rPr>
        <w:t xml:space="preserve"> (</w:t>
      </w:r>
      <w:r>
        <w:rPr/>
        <w:t>14.4.2022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)). </w:t>
      </w:r>
      <w:r>
        <w:rPr>
          <w:rtl w:val="true"/>
        </w:rPr>
        <w:t xml:space="preserve">בהקשר זה נזכיר את התיקון לחוק </w:t>
      </w:r>
      <w:r>
        <w:rPr>
          <w:rtl w:val="true"/>
        </w:rPr>
        <w:t>(</w:t>
      </w:r>
      <w:r>
        <w:rPr>
          <w:rtl w:val="true"/>
        </w:rPr>
        <w:t xml:space="preserve">תיקון </w:t>
      </w:r>
      <w:r>
        <w:rPr/>
        <w:t>140</w:t>
      </w:r>
      <w:r>
        <w:rPr>
          <w:rtl w:val="true"/>
        </w:rPr>
        <w:t>-</w:t>
      </w:r>
      <w:r>
        <w:rPr>
          <w:rtl w:val="true"/>
        </w:rPr>
        <w:t>הוראה שעה</w:t>
      </w:r>
      <w:r>
        <w:rPr>
          <w:rtl w:val="true"/>
        </w:rPr>
        <w:t xml:space="preserve">)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אשר אמנם אינו חל בענייננו אך רוחו שורה גם על עבירות שבוצעו בתקופות קודמות לו ומשקפת את רצון המחוקק בהחמרת הענישה בעבירות ממין דא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ListParagraph"/>
        <w:ind w:end="0"/>
        <w:jc w:val="start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בענייננו </w:t>
      </w:r>
      <w:r>
        <w:rPr>
          <w:rFonts w:ascii="Times New Roman" w:hAnsi="Times New Roman" w:eastAsia="Times New Roman" w:cs="Times New Roman"/>
          <w:rtl w:val="true"/>
        </w:rPr>
        <w:t>נסיבות המעשה אינן מן החמורות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tl w:val="true"/>
        </w:rPr>
        <w:t>הנאשם אחז בנשק ובעודו רעול פנים הצטלם מספר תמונות</w:t>
      </w:r>
      <w:r>
        <w:rPr>
          <w:rtl w:val="true"/>
        </w:rPr>
        <w:t xml:space="preserve">, </w:t>
      </w:r>
      <w:r>
        <w:rPr>
          <w:rtl w:val="true"/>
        </w:rPr>
        <w:t>בהמשך לכך הועברו התמונות לטלפון הנייד שלו על ידי אחר שזהותו אינה ידועה</w:t>
      </w:r>
      <w:r>
        <w:rPr>
          <w:rtl w:val="true"/>
        </w:rPr>
        <w:t xml:space="preserve">.  </w:t>
      </w:r>
      <w:r>
        <w:rPr>
          <w:rtl w:val="true"/>
        </w:rPr>
        <w:t>לדברי הנאשם מצא את הנשק באקראי והצטלם איתו מתוך סקרנות</w:t>
      </w:r>
      <w:r>
        <w:rPr>
          <w:rtl w:val="true"/>
        </w:rPr>
        <w:t xml:space="preserve">, </w:t>
      </w:r>
      <w:r>
        <w:rPr>
          <w:rtl w:val="true"/>
        </w:rPr>
        <w:t>אין בכך כדי להפחית מחומרת מעשיו וזה אף לא הבהיר מדוע בחר להותיר את הנשק בחזקתו ולא העבירו למשטרה</w:t>
      </w:r>
      <w:r>
        <w:rPr>
          <w:rtl w:val="true"/>
        </w:rPr>
        <w:t xml:space="preserve">. </w:t>
      </w:r>
      <w:r>
        <w:rPr>
          <w:rtl w:val="true"/>
        </w:rPr>
        <w:t>מנסיבות המעשה המפורטות בכתב האישום לא הובהרה תקופת הזמן שהנאשם נשא את הנשק</w:t>
      </w:r>
      <w:r>
        <w:rPr>
          <w:rtl w:val="true"/>
        </w:rPr>
        <w:t xml:space="preserve">, </w:t>
      </w:r>
      <w:r>
        <w:rPr>
          <w:rtl w:val="true"/>
        </w:rPr>
        <w:t>אף סוגו אינו ידוע ולא טיב התחמושת שהחזיק</w:t>
      </w:r>
      <w:r>
        <w:rPr>
          <w:rtl w:val="true"/>
        </w:rPr>
        <w:t xml:space="preserve">, </w:t>
      </w:r>
      <w:r>
        <w:rPr>
          <w:rtl w:val="true"/>
        </w:rPr>
        <w:t>אניח לטובתו שמדובר היה בנשיאה קצרת מועד שלא לצורך שימוש בו למטרות פליליות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הנאשם היה מודע היטב לחומרת מעשיו</w:t>
      </w:r>
      <w:r>
        <w:rPr>
          <w:rtl w:val="true"/>
        </w:rPr>
        <w:t xml:space="preserve">, </w:t>
      </w:r>
      <w:r>
        <w:rPr>
          <w:rtl w:val="true"/>
        </w:rPr>
        <w:t>לא בכדי הצטלם רעול פנים והורשע גם בהחזקת תחמושת</w:t>
      </w:r>
      <w:r>
        <w:rPr>
          <w:rtl w:val="true"/>
        </w:rPr>
        <w:t xml:space="preserve">. </w:t>
      </w:r>
      <w:r>
        <w:rPr>
          <w:rtl w:val="true"/>
        </w:rPr>
        <w:t>בהחזקת נשק או נשיאתו גלום פוטנציאל סיכון רב</w:t>
      </w:r>
      <w:r>
        <w:rPr>
          <w:rtl w:val="true"/>
        </w:rPr>
        <w:t xml:space="preserve">, </w:t>
      </w:r>
      <w:r>
        <w:rPr>
          <w:rtl w:val="true"/>
        </w:rPr>
        <w:t>זמינותו של הנשק מעלה את הסיכון שיעשה בו שימוש למטרות פסולות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בחינת מידת פגיעת מעשי הנאשם בערכים המוגנים מובילה למסקנה כי היא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ברף הבינוני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נמוך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בהקשר זה נתתי דעתי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למטרת נשיאת הנשק ולהעדר אינדיקציות לשימוש בו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בפסיקה ענפה הושתו על נושאי נשק עונשי מאסר מאחורי סורג ובריח לתקופות לא קצרות</w:t>
      </w:r>
      <w:r>
        <w:rPr>
          <w:rtl w:val="true"/>
        </w:rPr>
        <w:t xml:space="preserve">. </w:t>
      </w:r>
      <w:r>
        <w:rPr>
          <w:rtl w:val="true"/>
        </w:rPr>
        <w:t>הפסיקה אינה מקלה עם נאשמים צעירים שזו להם הסתבכותם הראשונה עם החוק</w:t>
      </w:r>
      <w:r>
        <w:rPr>
          <w:rtl w:val="true"/>
        </w:rPr>
        <w:t xml:space="preserve">, </w:t>
      </w:r>
      <w:r>
        <w:rPr>
          <w:rtl w:val="true"/>
        </w:rPr>
        <w:t>אף בעבירות שבוצעו בנסיבות ברף חומרה בינוני</w:t>
      </w:r>
      <w:r>
        <w:rPr>
          <w:rtl w:val="true"/>
        </w:rPr>
        <w:t>-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ללמדנו כי הענישה מבכרת את האינטרס הציבורי על פני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לרבות במקרי שיקום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המסר העונשי הנגזר ממדיניות הענישה האמורה הוא כי שומר נפשו ושלומו – ירחק מעבירות הנשק באשר 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קלות כחמורות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 xml:space="preserve">פסקה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b/>
          <w:b/>
          <w:bCs/>
          <w:rtl w:val="true"/>
        </w:rPr>
        <w:t>עניין פלוני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2141/21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חניני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((</w:t>
      </w:r>
      <w:r>
        <w:rPr>
          <w:rFonts w:cs="Times New Roman" w:ascii="Times New Roman" w:hAnsi="Times New Roman"/>
        </w:rPr>
        <w:t>27.5.21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נדחה ערעורו של נאשם שהצטייד באקדח אוויר שבוצעו בו שינויים שמאפשרים ירי של תחמושת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הוא נתפס בחצר קרובה לביתו בשעת לילה מאוחרת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כשהוא נושא את האקדח על גופו ובתוכו ארבעה כדורים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נדון למאסר בן 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r>
        <w:rPr>
          <w:b/>
          <w:b/>
          <w:bCs/>
          <w:rtl w:val="true"/>
        </w:rPr>
        <w:t xml:space="preserve">עניין פלוני </w:t>
      </w:r>
      <w:r>
        <w:rPr>
          <w:rtl w:val="true"/>
        </w:rPr>
        <w:t>נדחה ערעור המערער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שנשא והוביל ברכבו אקדח גלוק מוסלק</w:t>
      </w:r>
      <w:r>
        <w:rPr>
          <w:rtl w:val="true"/>
        </w:rPr>
        <w:t xml:space="preserve">, </w:t>
      </w:r>
      <w:r>
        <w:rPr>
          <w:rtl w:val="true"/>
        </w:rPr>
        <w:t>בנסיבות קשירת קשר עם אחר לביצוע עסקת נשק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36-16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נדון למאסר בן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6021/21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עבוד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19.12.21</w:t>
      </w:r>
      <w:r>
        <w:rPr>
          <w:rtl w:val="true"/>
        </w:rPr>
        <w:t xml:space="preserve">) </w:t>
      </w:r>
      <w:r>
        <w:rPr>
          <w:rtl w:val="true"/>
        </w:rPr>
        <w:t>נדחה ערעור המערער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 xml:space="preserve">שהורשע בנשיאת נשק מסוג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והפרעה לשוטר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50-24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נדון למאסר בן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((</w:t>
      </w:r>
      <w:r>
        <w:rPr/>
        <w:t>30.8.21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19.6.22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31.7.22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31.7.22</w:t>
      </w:r>
      <w:r>
        <w:rPr>
          <w:rtl w:val="true"/>
        </w:rPr>
        <w:t xml:space="preserve">) </w:t>
      </w:r>
      <w:r>
        <w:rPr>
          <w:rtl w:val="true"/>
        </w:rPr>
        <w:t>נדחה ערעור המערער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שנשא אקדח ומחסנית ריקה מוסלקים ברכבו</w:t>
      </w:r>
      <w:r>
        <w:rPr>
          <w:rtl w:val="true"/>
        </w:rPr>
        <w:t xml:space="preserve">, </w:t>
      </w:r>
      <w:r>
        <w:rPr>
          <w:rtl w:val="true"/>
        </w:rPr>
        <w:t>לאחר שהחזיקם במשך שנה וחצי לפחות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40-18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נדון למאסר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Fonts w:eastAsia="David"/>
        </w:rPr>
      </w:pPr>
      <w:r>
        <w:rPr>
          <w:rFonts w:eastAsia="David"/>
          <w:rtl w:val="true"/>
        </w:rPr>
        <w:t>ב</w:t>
      </w:r>
      <w:hyperlink r:id="rId21">
        <w:r>
          <w:rPr>
            <w:rStyle w:val="Hyperlink"/>
            <w:rFonts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/>
            <w:color w:val="0000FF"/>
            <w:u w:val="single"/>
            <w:rtl w:val="true"/>
          </w:rPr>
          <w:t>"</w:t>
        </w:r>
        <w:r>
          <w:rPr>
            <w:rStyle w:val="Hyperlink"/>
            <w:rFonts w:eastAsia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David"/>
            <w:color w:val="0000FF"/>
            <w:u w:val="single"/>
          </w:rPr>
          <w:t>4290/21</w:t>
        </w:r>
      </w:hyperlink>
      <w:r>
        <w:rPr>
          <w:rFonts w:eastAsia="David"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זרבאילוב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נ</w:t>
      </w:r>
      <w:r>
        <w:rPr>
          <w:rFonts w:eastAsia="David"/>
          <w:b/>
          <w:bCs/>
          <w:rtl w:val="true"/>
        </w:rPr>
        <w:t xml:space="preserve">' </w:t>
      </w:r>
      <w:r>
        <w:rPr>
          <w:rFonts w:eastAsia="David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 </w:t>
      </w:r>
      <w:r>
        <w:rPr>
          <w:rFonts w:eastAsia="David"/>
          <w:rtl w:val="true"/>
        </w:rPr>
        <w:t>(</w:t>
      </w:r>
      <w:r>
        <w:rPr>
          <w:rFonts w:eastAsia="David"/>
        </w:rPr>
        <w:t>6.12.21</w:t>
      </w:r>
      <w:r>
        <w:rPr>
          <w:rFonts w:eastAsia="David"/>
          <w:rtl w:val="true"/>
        </w:rPr>
        <w:t xml:space="preserve">) </w:t>
      </w:r>
      <w:r>
        <w:rPr>
          <w:rFonts w:eastAsia="David"/>
          <w:rtl w:val="true"/>
        </w:rPr>
        <w:t>דחה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העליון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שנהג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ברכבו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ונשא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בתא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אקדחים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טעונים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במחסנית</w:t>
      </w:r>
      <w:r>
        <w:rPr>
          <w:rFonts w:eastAsia="David"/>
          <w:rtl w:val="true"/>
        </w:rPr>
        <w:t xml:space="preserve">. </w:t>
      </w:r>
      <w:r>
        <w:rPr>
          <w:rFonts w:eastAsia="David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</w:rPr>
        <w:t>36-16</w:t>
      </w:r>
      <w:r>
        <w:rPr>
          <w:rFonts w:eastAsia="David"/>
          <w:rtl w:val="true"/>
        </w:rPr>
        <w:t xml:space="preserve"> </w:t>
      </w:r>
      <w:r>
        <w:rPr>
          <w:rFonts w:eastAsia="David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מאסר</w:t>
      </w:r>
      <w:r>
        <w:rPr>
          <w:rFonts w:eastAsia="David"/>
          <w:rtl w:val="true"/>
        </w:rPr>
        <w:t xml:space="preserve">. </w:t>
      </w:r>
      <w:r>
        <w:rPr>
          <w:rFonts w:eastAsia="David"/>
          <w:rtl w:val="true"/>
        </w:rPr>
        <w:t>לחובת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הרשעה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שהתיישנה</w:t>
      </w:r>
      <w:r>
        <w:rPr>
          <w:rFonts w:eastAsia="David"/>
          <w:rtl w:val="true"/>
        </w:rPr>
        <w:t xml:space="preserve">. </w:t>
      </w:r>
      <w:r>
        <w:rPr>
          <w:rFonts w:eastAsia="David"/>
          <w:rtl w:val="true"/>
        </w:rPr>
        <w:t>נדון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</w:rPr>
        <w:t>18</w:t>
      </w:r>
      <w:r>
        <w:rPr>
          <w:rFonts w:eastAsia="David"/>
          <w:rtl w:val="true"/>
        </w:rPr>
        <w:t xml:space="preserve"> </w:t>
      </w:r>
      <w:r>
        <w:rPr>
          <w:rFonts w:eastAsia="David"/>
          <w:rtl w:val="true"/>
        </w:rPr>
        <w:t>חודשים</w:t>
      </w:r>
      <w:r>
        <w:rPr>
          <w:rFonts w:eastAsia="David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ListNumber"/>
        <w:numPr>
          <w:ilvl w:val="0"/>
          <w:numId w:val="2"/>
        </w:numPr>
        <w:tabs>
          <w:tab w:val="left" w:pos="720" w:leader="none"/>
        </w:tabs>
        <w:ind w:hanging="360" w:start="720" w:end="0"/>
        <w:jc w:val="both"/>
        <w:rPr>
          <w:rFonts w:eastAsia="David"/>
        </w:rPr>
      </w:pPr>
      <w:r>
        <w:rPr>
          <w:rFonts w:eastAsia="David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שבחנתי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העבירה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הנוהגת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אני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קובעת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ענישה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הנע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Cs/>
        </w:rPr>
        <w:t>20-40</w:t>
      </w:r>
      <w:r>
        <w:rPr>
          <w:rFonts w:eastAsia="David"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בפועל</w:t>
      </w:r>
      <w:r>
        <w:rPr>
          <w:rFonts w:eastAsia="David"/>
          <w:rtl w:val="true"/>
        </w:rPr>
        <w:t xml:space="preserve">. </w:t>
      </w:r>
      <w:r>
        <w:rPr>
          <w:rFonts w:eastAsia="David"/>
          <w:rtl w:val="true"/>
        </w:rPr>
        <w:t>בהקשר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מצאתי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ליתן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משקל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נשיאת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מצביעות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כוונה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לשימוש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למטרה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פלילית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וזאת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מבלי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להפחית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הגלום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במעשה</w:t>
      </w:r>
      <w:r>
        <w:rPr>
          <w:rFonts w:eastAsia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eastAsia="David"/>
          <w:b/>
          <w:bCs/>
          <w:u w:val="single"/>
        </w:rPr>
      </w:pPr>
      <w:r>
        <w:rPr>
          <w:rFonts w:eastAsia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 בחור צעיר</w:t>
      </w:r>
      <w:r>
        <w:rPr>
          <w:rtl w:val="true"/>
        </w:rPr>
        <w:t xml:space="preserve">, </w:t>
      </w:r>
      <w:r>
        <w:rPr>
          <w:rtl w:val="true"/>
        </w:rPr>
        <w:t>בן למשפחה טובה ונעדר עבר</w:t>
      </w:r>
      <w:r>
        <w:rPr>
          <w:rtl w:val="true"/>
        </w:rPr>
        <w:t xml:space="preserve">, </w:t>
      </w:r>
      <w:r>
        <w:rPr>
          <w:rtl w:val="true"/>
        </w:rPr>
        <w:t>מתמודד עם מחלת סכרת נעורים</w:t>
      </w:r>
      <w:r>
        <w:rPr>
          <w:rtl w:val="true"/>
        </w:rPr>
        <w:t xml:space="preserve">. </w:t>
      </w:r>
      <w:r>
        <w:rPr>
          <w:rtl w:val="true"/>
        </w:rPr>
        <w:t>הנאשם היה עצור לראשונה בחייו במסגרת הליך זה כשלושה חודשים ולאחר מכן היה נתון תקופה במעצר בתנאי איזוק</w:t>
      </w:r>
      <w:r>
        <w:rPr>
          <w:rtl w:val="true"/>
        </w:rPr>
        <w:t xml:space="preserve">. </w:t>
      </w:r>
      <w:r>
        <w:rPr>
          <w:rtl w:val="true"/>
        </w:rPr>
        <w:t>תסקיריו חיוביים ומלמדים על נאשם המביע חרטה ותובנה לחומרת מעשיו</w:t>
      </w:r>
      <w:r>
        <w:rPr>
          <w:rtl w:val="true"/>
        </w:rPr>
        <w:t xml:space="preserve">, </w:t>
      </w:r>
      <w:r>
        <w:rPr>
          <w:rtl w:val="true"/>
        </w:rPr>
        <w:t>נכון לשאת את עונשו ובעל מוטיבציה טיפולית אך אין מדובר בתסקיר שיקומי</w:t>
      </w:r>
      <w:r>
        <w:rPr>
          <w:rtl w:val="true"/>
        </w:rPr>
        <w:t xml:space="preserve">, </w:t>
      </w:r>
      <w:r>
        <w:rPr>
          <w:rtl w:val="true"/>
        </w:rPr>
        <w:t>הנאשם אף לא שולב בטיפול משמעותי</w:t>
      </w:r>
      <w:r>
        <w:rPr>
          <w:rtl w:val="true"/>
        </w:rPr>
        <w:t xml:space="preserve">. </w:t>
      </w:r>
      <w:r>
        <w:rPr>
          <w:rtl w:val="true"/>
        </w:rPr>
        <w:t>נתוניו של הנאשם</w:t>
      </w:r>
      <w:r>
        <w:rPr>
          <w:rtl w:val="true"/>
        </w:rPr>
        <w:t xml:space="preserve">: </w:t>
      </w:r>
      <w:r>
        <w:rPr>
          <w:rtl w:val="true"/>
        </w:rPr>
        <w:t>גיל צעיר</w:t>
      </w:r>
      <w:r>
        <w:rPr>
          <w:rtl w:val="true"/>
        </w:rPr>
        <w:t xml:space="preserve">, </w:t>
      </w:r>
      <w:r>
        <w:rPr>
          <w:rtl w:val="true"/>
        </w:rPr>
        <w:t>עבר נקי והעדר דפוסים עברייניים מאפיינים</w:t>
      </w:r>
      <w:r>
        <w:rPr>
          <w:rtl w:val="true"/>
        </w:rPr>
        <w:t xml:space="preserve">,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את הפרופיל החדש של מבצעי עבירות בנשק בלתי חוקי ועניינו של הנאשם אינו חריג ואף אינו כולל נתונים יוצאי דופן</w:t>
      </w:r>
      <w:r>
        <w:rPr>
          <w:rtl w:val="true"/>
        </w:rPr>
        <w:t xml:space="preserve">. </w:t>
      </w:r>
      <w:r>
        <w:rPr>
          <w:rtl w:val="true"/>
        </w:rPr>
        <w:t>עוד אינני מתעלמת מכך שמדובר בנאשם הסובל ממחלה כרונית וכי בתקופת מעצרו חווה קשיים רבים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צו השעה הוא להחמיר עם מבצעי עבירות בנשק בלתי חוקי וליתן משקל מכריע לאינטרס הציבורי ולשיקולי ההרתעה</w:t>
      </w:r>
      <w:r>
        <w:rPr>
          <w:rtl w:val="true"/>
        </w:rPr>
        <w:t xml:space="preserve">. </w:t>
      </w:r>
      <w:r>
        <w:rPr>
          <w:rtl w:val="true"/>
        </w:rPr>
        <w:t>המסר העונשי לעברייני הנשק הוא חד ונחרץ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שומה עלינו לזכור כי מדובר במשחק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סכום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אפס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שופט שמרחם על עבריין נשק ומקל בעונשו אינו מרחם על הקורבן הבא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פסק דינו של כב</w:t>
      </w:r>
      <w:r>
        <w:rPr>
          <w:rtl w:val="true"/>
        </w:rPr>
        <w:t xml:space="preserve">' </w:t>
      </w:r>
      <w:r>
        <w:rPr>
          <w:rtl w:val="true"/>
        </w:rPr>
        <w:t>השופט שטיין</w:t>
      </w:r>
      <w:r>
        <w:rPr>
          <w:rtl w:val="true"/>
        </w:rPr>
        <w:t xml:space="preserve">,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7850/21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25.11.21</w:t>
      </w:r>
      <w:r>
        <w:rPr>
          <w:rtl w:val="true"/>
        </w:rPr>
        <w:t xml:space="preserve">)). </w:t>
      </w:r>
      <w:r>
        <w:rPr>
          <w:rtl w:val="true"/>
        </w:rPr>
        <w:t>לא שוכנעתי כי לנאשם נסיבות מיוחדות המצדיקות חריגה ממתחם הענישה</w:t>
      </w:r>
      <w:r>
        <w:rPr>
          <w:rtl w:val="true"/>
        </w:rPr>
        <w:t xml:space="preserve">, </w:t>
      </w:r>
      <w:r>
        <w:rPr>
          <w:rtl w:val="true"/>
        </w:rPr>
        <w:t>גם בהינתן המלצה חיובית של שירות המבחן</w:t>
      </w:r>
      <w:r>
        <w:rPr>
          <w:rtl w:val="true"/>
        </w:rPr>
        <w:t xml:space="preserve">. </w:t>
      </w:r>
      <w:r>
        <w:rPr>
          <w:rtl w:val="true"/>
        </w:rPr>
        <w:t>המלצה זו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אינה מחייבת את בית המשפט וביכולתו לסטות ממנה מטעמים מוצדקים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2260/22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18.7.22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 שבחנתי את כלל השיקולים מצאתי למקמו ברף התחתון של המתחם</w:t>
      </w:r>
      <w:r>
        <w:rPr>
          <w:rtl w:val="true"/>
        </w:rPr>
        <w:t xml:space="preserve">. </w:t>
      </w:r>
      <w:r>
        <w:rPr>
          <w:rtl w:val="true"/>
        </w:rPr>
        <w:t>נתוניו טובים</w:t>
      </w:r>
      <w:r>
        <w:rPr>
          <w:rtl w:val="true"/>
        </w:rPr>
        <w:t xml:space="preserve">; </w:t>
      </w:r>
      <w:r>
        <w:rPr>
          <w:rtl w:val="true"/>
        </w:rPr>
        <w:t>הסיכון שיחזור על מעשיו אינו גבוה ומאז ביצוע העבירה חלפו כשנתיים</w:t>
      </w:r>
      <w:r>
        <w:rPr>
          <w:rtl w:val="true"/>
        </w:rPr>
        <w:t xml:space="preserve">. </w:t>
      </w:r>
      <w:r>
        <w:rPr>
          <w:rtl w:val="true"/>
        </w:rPr>
        <w:t>באשר לגובה הקנס</w:t>
      </w:r>
      <w:r>
        <w:rPr>
          <w:rtl w:val="true"/>
        </w:rPr>
        <w:t xml:space="preserve">, </w:t>
      </w:r>
      <w:r>
        <w:rPr>
          <w:rtl w:val="true"/>
        </w:rPr>
        <w:t>אתחשב במצבו הכלכלי והבריאותי ובכך שאינו עובד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 גוזרת על הנאשם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מעצרו </w:t>
      </w:r>
      <w:r>
        <w:rPr/>
        <w:t>06.06.21-21.03.21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בארבעה תשלומים החל מיום </w:t>
      </w:r>
      <w:r>
        <w:rPr/>
        <w:t>1.2.23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הנאשם יתייצב לריצוי מאסרו ביום </w:t>
      </w:r>
      <w:r>
        <w:rPr/>
        <w:t>30.1.23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 xml:space="preserve">בבית מעצר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לצורך הבטחת התייצבותו יעמדו הערבויות שהופקדו בהליך המעצר</w:t>
      </w:r>
      <w:r>
        <w:rPr>
          <w:rtl w:val="true"/>
        </w:rPr>
        <w:t xml:space="preserve">, </w:t>
      </w:r>
      <w:r>
        <w:rPr>
          <w:rtl w:val="true"/>
        </w:rPr>
        <w:t>צו עיכוב יציאה מהארץ יוותר על כנו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b/>
          <w:bCs/>
          <w:spacing w:val="0"/>
          <w:sz w:val="24"/>
          <w:szCs w:val="24"/>
        </w:rPr>
      </w:pP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pacing w:val="0"/>
          <w:sz w:val="26"/>
          <w:szCs w:val="26"/>
        </w:rPr>
      </w:pPr>
      <w:r>
        <w:rPr>
          <w:rFonts w:cs="Arial" w:ascii="Arial" w:hAnsi="Arial"/>
          <w:b/>
          <w:bCs/>
          <w:spacing w:val="0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54852-03-21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איהב עבד אל רחים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734980" TargetMode="External"/><Relationship Id="rId7" Type="http://schemas.openxmlformats.org/officeDocument/2006/relationships/hyperlink" Target="http://www.nevo.co.il/case/28268880" TargetMode="External"/><Relationship Id="rId8" Type="http://schemas.openxmlformats.org/officeDocument/2006/relationships/hyperlink" Target="http://www.nevo.co.il/case/28513828" TargetMode="External"/><Relationship Id="rId9" Type="http://schemas.openxmlformats.org/officeDocument/2006/relationships/hyperlink" Target="http://www.nevo.co.il/case/27894608" TargetMode="External"/><Relationship Id="rId10" Type="http://schemas.openxmlformats.org/officeDocument/2006/relationships/hyperlink" Target="http://www.nevo.co.il/case/27911638" TargetMode="External"/><Relationship Id="rId11" Type="http://schemas.openxmlformats.org/officeDocument/2006/relationships/hyperlink" Target="http://www.nevo.co.il/case/28152132" TargetMode="External"/><Relationship Id="rId12" Type="http://schemas.openxmlformats.org/officeDocument/2006/relationships/hyperlink" Target="http://www.nevo.co.il/case/28452933" TargetMode="External"/><Relationship Id="rId13" Type="http://schemas.openxmlformats.org/officeDocument/2006/relationships/hyperlink" Target="http://www.nevo.co.il/case/27305799" TargetMode="External"/><Relationship Id="rId14" Type="http://schemas.openxmlformats.org/officeDocument/2006/relationships/hyperlink" Target="http://www.nevo.co.il/case/27305799" TargetMode="External"/><Relationship Id="rId15" Type="http://schemas.openxmlformats.org/officeDocument/2006/relationships/hyperlink" Target="http://www.nevo.co.il/case/27502726" TargetMode="External"/><Relationship Id="rId16" Type="http://schemas.openxmlformats.org/officeDocument/2006/relationships/hyperlink" Target="http://www.nevo.co.il/case/27911655" TargetMode="External"/><Relationship Id="rId17" Type="http://schemas.openxmlformats.org/officeDocument/2006/relationships/hyperlink" Target="http://www.nevo.co.il/case/27494821" TargetMode="External"/><Relationship Id="rId18" Type="http://schemas.openxmlformats.org/officeDocument/2006/relationships/hyperlink" Target="http://www.nevo.co.il/case/28380863" TargetMode="External"/><Relationship Id="rId19" Type="http://schemas.openxmlformats.org/officeDocument/2006/relationships/hyperlink" Target="http://www.nevo.co.il/case/28300349" TargetMode="External"/><Relationship Id="rId20" Type="http://schemas.openxmlformats.org/officeDocument/2006/relationships/hyperlink" Target="http://www.nevo.co.il/case/28452933" TargetMode="External"/><Relationship Id="rId21" Type="http://schemas.openxmlformats.org/officeDocument/2006/relationships/hyperlink" Target="http://www.nevo.co.il/case/27716369" TargetMode="External"/><Relationship Id="rId22" Type="http://schemas.openxmlformats.org/officeDocument/2006/relationships/hyperlink" Target="http://www.nevo.co.il/case/28096675" TargetMode="External"/><Relationship Id="rId23" Type="http://schemas.openxmlformats.org/officeDocument/2006/relationships/hyperlink" Target="http://www.nevo.co.il/case/28452957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2024-05-05T08:18:00Z</dcterms:created>
  <dc:creator> </dc:creator>
  <dc:description/>
  <cp:keywords/>
  <dc:language>en-IL</dc:language>
  <cp:lastModifiedBy>h1</cp:lastModifiedBy>
  <dcterms:modified xsi:type="dcterms:W3CDTF">2024-05-05T08:18:00Z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איהב עבד אל רחים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27734980;28268880;28513828;27894608;27911638;28152132;28452933:2;27305799:2;27502726;27911655;27494821;28380863;28300349;27716369;28096675;28452957</vt:lpwstr>
  </property>
  <property fmtid="{D5CDD505-2E9C-101B-9397-08002B2CF9AE}" pid="9" name="CITY">
    <vt:lpwstr>מרכז</vt:lpwstr>
  </property>
  <property fmtid="{D5CDD505-2E9C-101B-9397-08002B2CF9AE}" pid="10" name="DATE">
    <vt:lpwstr>20221128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</vt:lpwstr>
  </property>
  <property fmtid="{D5CDD505-2E9C-101B-9397-08002B2CF9AE}" pid="15" name="LAWYER">
    <vt:lpwstr>ליטל שירי;איהאב ג'לג'ולי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54852</vt:lpwstr>
  </property>
  <property fmtid="{D5CDD505-2E9C-101B-9397-08002B2CF9AE}" pid="22" name="NEWPARTB">
    <vt:lpwstr>03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390020221128</vt:lpwstr>
  </property>
  <property fmtid="{D5CDD505-2E9C-101B-9397-08002B2CF9AE}" pid="34" name="TYPE_N_DATE">
    <vt:lpwstr>39020221128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