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54879-08-16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מסארוה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רונית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נג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מסארוה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Miriam"/>
          <w:bCs/>
          <w:u w:val="single"/>
        </w:rPr>
      </w:pPr>
      <w:r>
        <w:rPr>
          <w:rFonts w:cs="Miriam" w:ascii="David" w:hAnsi="David"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),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bookmarkStart w:id="9" w:name="ABSTRACT_END"/>
      <w:bookmarkEnd w:id="9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  <w:b/>
        </w:rPr>
      </w:pPr>
      <w:r>
        <w:rPr>
          <w:rFonts w:cs="Miriam"/>
          <w:b/>
          <w:b/>
          <w:rtl w:val="true"/>
        </w:rPr>
        <w:t>כתב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האישום</w:t>
      </w:r>
    </w:p>
    <w:p>
      <w:pPr>
        <w:pStyle w:val="Normal"/>
        <w:spacing w:lineRule="auto" w:line="360"/>
        <w:ind w:end="0"/>
        <w:jc w:val="start"/>
        <w:rPr>
          <w:rFonts w:cs="Miriam"/>
          <w:b/>
        </w:rPr>
      </w:pPr>
      <w:r>
        <w:rPr>
          <w:rFonts w:cs="Miriam"/>
          <w:b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</w:rPr>
        <w:t>2</w:t>
      </w:r>
      <w:r>
        <w:rPr>
          <w:rFonts w:cs="David" w:ascii="David" w:hAnsi="David"/>
          <w:b/>
          <w:rtl w:val="true"/>
        </w:rPr>
        <w:t>.</w:t>
      </w:r>
      <w:r>
        <w:rPr>
          <w:rFonts w:cs="David" w:ascii="David" w:hAnsi="David"/>
          <w:b/>
          <w:rtl w:val="true"/>
        </w:rPr>
        <w:tab/>
      </w:r>
      <w:r>
        <w:rPr>
          <w:rFonts w:ascii="David" w:hAnsi="David"/>
          <w:b/>
          <w:b/>
          <w:rtl w:val="true"/>
        </w:rPr>
        <w:t>מעובדות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כתב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האישום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המתוקן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שהוגש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במסגרת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הסדר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הטיעון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עולה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כי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ביום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cs="David" w:ascii="David" w:hAnsi="David"/>
          <w:b/>
        </w:rPr>
        <w:t>17.8.16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סמוך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לשעה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cs="David" w:ascii="David" w:hAnsi="David"/>
          <w:b/>
        </w:rPr>
        <w:t>11:00</w:t>
      </w:r>
      <w:r>
        <w:rPr>
          <w:rFonts w:cs="David" w:ascii="David" w:hAnsi="David"/>
          <w:b/>
          <w:rtl w:val="true"/>
        </w:rPr>
        <w:t xml:space="preserve">  </w:t>
      </w:r>
      <w:r>
        <w:rPr>
          <w:rFonts w:ascii="David" w:hAnsi="David"/>
          <w:b/>
          <w:b/>
          <w:rtl w:val="true"/>
        </w:rPr>
        <w:t>ברחוב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ברזילי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cs="David" w:ascii="David" w:hAnsi="David"/>
          <w:b/>
        </w:rPr>
        <w:t>12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בחיפה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שם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התגורר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הנאשם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נשא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הלה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והוביל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תיק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ובו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תת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מקלע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מאולתר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בקוטר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cs="David" w:ascii="David" w:hAnsi="David"/>
          <w:b/>
        </w:rPr>
        <w:t>9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מ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שסוגל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לירות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כדור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שבכוחו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להמית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אדם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cs="David" w:ascii="David" w:hAnsi="David"/>
          <w:b/>
          <w:rtl w:val="true"/>
        </w:rPr>
        <w:t>(</w:t>
      </w:r>
      <w:r>
        <w:rPr>
          <w:rFonts w:ascii="David" w:hAnsi="David"/>
          <w:b/>
          <w:b/>
          <w:rtl w:val="true"/>
        </w:rPr>
        <w:t>להלן</w:t>
      </w:r>
      <w:r>
        <w:rPr>
          <w:rFonts w:ascii="David" w:hAnsi="David"/>
          <w:b/>
          <w:b/>
          <w:rtl w:val="true"/>
        </w:rPr>
        <w:t xml:space="preserve"> גם</w:t>
      </w:r>
      <w:r>
        <w:rPr>
          <w:rFonts w:cs="David" w:ascii="David" w:hAnsi="David"/>
          <w:b/>
          <w:rtl w:val="true"/>
        </w:rPr>
        <w:t xml:space="preserve">: </w:t>
      </w:r>
      <w:r>
        <w:rPr>
          <w:rFonts w:ascii="David" w:hAnsi="David" w:cs="Miriam"/>
          <w:b/>
          <w:b/>
          <w:rtl w:val="true"/>
        </w:rPr>
        <w:t>הנשק</w:t>
      </w:r>
      <w:r>
        <w:rPr>
          <w:rFonts w:cs="David" w:ascii="David" w:hAnsi="David"/>
          <w:b/>
          <w:rtl w:val="true"/>
        </w:rPr>
        <w:t xml:space="preserve">), </w:t>
      </w:r>
      <w:r>
        <w:rPr>
          <w:rFonts w:ascii="David" w:hAnsi="David"/>
          <w:b/>
          <w:b/>
          <w:rtl w:val="true"/>
        </w:rPr>
        <w:t>מחסנית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המתאימה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לנשק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ובתוכה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cs="David" w:ascii="David" w:hAnsi="David"/>
          <w:b/>
        </w:rPr>
        <w:t>7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כדורים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וזאת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בלא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רשות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פי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דין</w:t>
      </w:r>
      <w:r>
        <w:rPr>
          <w:rFonts w:cs="David" w:ascii="David" w:hAnsi="David"/>
          <w:b/>
          <w:rtl w:val="true"/>
        </w:rPr>
        <w:t>.</w:t>
      </w:r>
    </w:p>
    <w:p>
      <w:pPr>
        <w:pStyle w:val="Normal"/>
        <w:spacing w:lineRule="auto" w:line="360" w:before="0" w:after="0"/>
        <w:ind w:start="1005"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Miriam"/>
        </w:rPr>
      </w:pPr>
      <w:r>
        <w:rPr>
          <w:rFonts w:ascii="David" w:hAnsi="David" w:cs="Miriam"/>
          <w:rtl w:val="true"/>
        </w:rPr>
        <w:t>טיעוני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המאשימה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Miriam"/>
        </w:rPr>
      </w:pPr>
      <w:r>
        <w:rPr>
          <w:rFonts w:cs="Miriam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</w:rPr>
        <w:t>3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במסגרת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ראיות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המאשימה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לעונש</w:t>
      </w:r>
      <w:r>
        <w:rPr>
          <w:rFonts w:cs="David" w:ascii="David" w:hAnsi="David"/>
          <w:b/>
          <w:rtl w:val="true"/>
        </w:rPr>
        <w:t>,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הוגש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גיליון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המרשם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הפלילי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הנאשם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cs="David" w:ascii="David" w:hAnsi="David"/>
          <w:b/>
          <w:rtl w:val="true"/>
        </w:rPr>
        <w:t>(</w:t>
      </w:r>
      <w:r>
        <w:rPr>
          <w:rFonts w:ascii="David" w:hAnsi="David" w:cs="Miriam"/>
          <w:b/>
          <w:b/>
          <w:rtl w:val="true"/>
        </w:rPr>
        <w:t>ת</w:t>
      </w:r>
      <w:r>
        <w:rPr>
          <w:rFonts w:cs="Miriam" w:ascii="David" w:hAnsi="David"/>
          <w:b/>
          <w:rtl w:val="true"/>
        </w:rPr>
        <w:t>/</w:t>
      </w:r>
      <w:r>
        <w:rPr>
          <w:rFonts w:cs="Miriam" w:ascii="David" w:hAnsi="David"/>
          <w:b/>
        </w:rPr>
        <w:t>1</w:t>
      </w:r>
      <w:r>
        <w:rPr>
          <w:rFonts w:cs="David" w:ascii="David" w:hAnsi="David"/>
          <w:b/>
          <w:rtl w:val="true"/>
        </w:rPr>
        <w:t xml:space="preserve">). </w:t>
      </w:r>
      <w:r>
        <w:rPr>
          <w:rFonts w:ascii="David" w:hAnsi="David"/>
          <w:b/>
          <w:b/>
          <w:rtl w:val="true"/>
        </w:rPr>
        <w:t>כמו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הגיש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המאשימה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את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טיעוני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המאשימה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לעונש</w:t>
      </w:r>
      <w:r>
        <w:rPr>
          <w:rFonts w:ascii="David" w:hAnsi="David"/>
          <w:b/>
          <w:b/>
          <w:rtl w:val="true"/>
        </w:rPr>
        <w:t xml:space="preserve">  </w:t>
      </w:r>
      <w:r>
        <w:rPr>
          <w:rFonts w:ascii="David" w:hAnsi="David"/>
          <w:b/>
          <w:b/>
          <w:rtl w:val="true"/>
        </w:rPr>
        <w:t>בכתב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cs="David" w:ascii="David" w:hAnsi="David"/>
          <w:b/>
          <w:rtl w:val="true"/>
        </w:rPr>
        <w:t>(</w:t>
      </w:r>
      <w:r>
        <w:rPr>
          <w:rFonts w:ascii="David" w:hAnsi="David" w:cs="Miriam"/>
          <w:b/>
          <w:b/>
          <w:rtl w:val="true"/>
        </w:rPr>
        <w:t>ת</w:t>
      </w:r>
      <w:r>
        <w:rPr>
          <w:rFonts w:cs="Miriam" w:ascii="David" w:hAnsi="David"/>
          <w:b/>
          <w:rtl w:val="true"/>
        </w:rPr>
        <w:t>/</w:t>
      </w:r>
      <w:r>
        <w:rPr>
          <w:rFonts w:cs="Miriam" w:ascii="David" w:hAnsi="David"/>
          <w:b/>
        </w:rPr>
        <w:t>2</w:t>
      </w:r>
      <w:r>
        <w:rPr>
          <w:rFonts w:cs="David" w:ascii="David" w:hAnsi="David"/>
          <w:b/>
          <w:rtl w:val="true"/>
        </w:rPr>
        <w:t xml:space="preserve">) </w:t>
      </w:r>
      <w:r>
        <w:rPr>
          <w:rFonts w:ascii="David" w:hAnsi="David"/>
          <w:b/>
          <w:b/>
          <w:rtl w:val="true"/>
        </w:rPr>
        <w:t>ואסופת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פסיקה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להמחשת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עמדתה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העונשית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המאשימה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cs="David" w:ascii="David" w:hAnsi="David"/>
          <w:b/>
          <w:rtl w:val="true"/>
        </w:rPr>
        <w:t>(</w:t>
      </w:r>
      <w:r>
        <w:rPr>
          <w:rFonts w:ascii="David" w:hAnsi="David" w:cs="Miriam"/>
          <w:b/>
          <w:b/>
          <w:rtl w:val="true"/>
        </w:rPr>
        <w:t>ת</w:t>
      </w:r>
      <w:r>
        <w:rPr>
          <w:rFonts w:cs="Miriam" w:ascii="David" w:hAnsi="David"/>
          <w:b/>
          <w:rtl w:val="true"/>
        </w:rPr>
        <w:t>/</w:t>
      </w:r>
      <w:r>
        <w:rPr>
          <w:rFonts w:cs="Miriam" w:ascii="David" w:hAnsi="David"/>
          <w:b/>
        </w:rPr>
        <w:t>3</w:t>
      </w:r>
      <w:r>
        <w:rPr>
          <w:rFonts w:cs="David" w:ascii="David" w:hAnsi="David"/>
          <w:b/>
          <w:rtl w:val="true"/>
        </w:rPr>
        <w:t>).</w:t>
      </w:r>
    </w:p>
    <w:p>
      <w:pPr>
        <w:pStyle w:val="Normal"/>
        <w:spacing w:lineRule="auto" w:line="360" w:before="0" w:after="0"/>
        <w:ind w:start="1005"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 w:before="0" w:after="0"/>
        <w:ind w:start="1005"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</w:rPr>
        <w:t>4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באשר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לערכים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החברתיים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שנפגעו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 xml:space="preserve">כתוצאה </w:t>
      </w:r>
      <w:r>
        <w:rPr>
          <w:rFonts w:ascii="David" w:hAnsi="David"/>
          <w:b/>
          <w:b/>
          <w:rtl w:val="true"/>
        </w:rPr>
        <w:t>ממעשיו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הנאשם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ציין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המאשימה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את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החומרה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הרבה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הטמונה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בעבירות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הנשק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בציינו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לא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בכדי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קבע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המחוקק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עונש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עד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cs="David" w:ascii="David" w:hAnsi="David"/>
          <w:b/>
        </w:rPr>
        <w:t>10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שנות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מאסר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בגין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העביר</w:t>
      </w:r>
      <w:r>
        <w:rPr>
          <w:rFonts w:ascii="David" w:hAnsi="David"/>
          <w:b/>
          <w:b/>
          <w:rtl w:val="true"/>
        </w:rPr>
        <w:t>ה שבפנינו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לחומרה</w:t>
      </w:r>
      <w:r>
        <w:rPr>
          <w:rFonts w:cs="David" w:ascii="David" w:hAnsi="David"/>
          <w:b/>
          <w:rtl w:val="true"/>
        </w:rPr>
        <w:t>,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צוין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הנשק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שהחזיק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הנאשם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היה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מוכן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לשימוש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כשלצדו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מחסנית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ותחמושת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רבה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המאשימה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הוסיף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וציין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מדובר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בנשק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אוטומטי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שהשימוש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עלול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להוביל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לפגיעה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רחבת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היקף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המאשימה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הדגיש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עבירות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בנשק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נעשו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נפוצות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בחברתנו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וטען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לפיכך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שומה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בית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המשפט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להכביד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בענישה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מבצעי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העבירות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במטרה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למגר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רעה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מסוכנת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זו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המאיימת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שלום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הציבור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כולו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המאשימה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הוסיף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והדגיש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את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הסיכון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הרב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הטמון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במקרים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בהם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הנשק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עשוי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להגיע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לידי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ידיים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בלתי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מיומנות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או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לגורמים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עוינים</w:t>
      </w:r>
      <w:r>
        <w:rPr>
          <w:rFonts w:cs="David" w:ascii="David" w:hAnsi="David"/>
          <w:b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</w:rPr>
        <w:t>5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המאשימה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טען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רמת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הענישה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הנוהגת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הינה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בהתאם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לפסיקת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בתי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המשפט</w:t>
      </w:r>
      <w:r>
        <w:rPr>
          <w:rFonts w:cs="David" w:ascii="David" w:hAnsi="David"/>
          <w:b/>
          <w:rtl w:val="true"/>
        </w:rPr>
        <w:t>,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רק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שיקול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אחד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בקביעת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מתחם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העונש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ההולם</w:t>
      </w:r>
      <w:r>
        <w:rPr>
          <w:rFonts w:cs="David" w:ascii="David" w:hAnsi="David"/>
          <w:b/>
          <w:rtl w:val="true"/>
        </w:rPr>
        <w:t xml:space="preserve">,  </w:t>
      </w:r>
      <w:r>
        <w:rPr>
          <w:rFonts w:ascii="David" w:hAnsi="David"/>
          <w:b/>
          <w:b/>
          <w:rtl w:val="true"/>
        </w:rPr>
        <w:t>וכן הבהיר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המאשימה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סבורה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שיש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להחמיר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בענישה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הנוהגת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כלפי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מבצעי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העבירות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בנשק</w:t>
      </w:r>
      <w:r>
        <w:rPr>
          <w:rFonts w:cs="David" w:ascii="David" w:hAnsi="David"/>
          <w:b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</w:rPr>
        <w:t>6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באשר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לנסיבות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ביצוע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העבירה</w:t>
      </w:r>
      <w:r>
        <w:rPr>
          <w:rFonts w:cs="David" w:ascii="David" w:hAnsi="David"/>
          <w:b/>
          <w:rtl w:val="true"/>
        </w:rPr>
        <w:t>,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ציין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המאשימה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את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חלקו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הבלעדי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הנאשם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בביצועה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תוך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ששב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והדגיש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את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הנזק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והסיכון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הטמונים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בעבירה בנשק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המאשימה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טען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לנאשם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לא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הייתה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סיבה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לבצע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את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העבירה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ובכל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היה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ביכולתו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להבין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את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אשר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הוא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עושה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ואת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הפסול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שבמעשיו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ולהימנע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מביצוע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העבירה</w:t>
      </w:r>
      <w:r>
        <w:rPr>
          <w:rFonts w:cs="David" w:ascii="David" w:hAnsi="David"/>
          <w:b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</w:rPr>
        <w:t>7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באשר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לנסיבות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שאינן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קשורות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בביצוע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העבירה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ציין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המאשימה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לחובתו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 xml:space="preserve">של הנאשם </w:t>
      </w:r>
      <w:r>
        <w:rPr>
          <w:rFonts w:ascii="David" w:hAnsi="David"/>
          <w:b/>
          <w:b/>
          <w:rtl w:val="true"/>
        </w:rPr>
        <w:t>עבר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פלילי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מכביד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במיוחד</w:t>
      </w:r>
      <w:r>
        <w:rPr>
          <w:rFonts w:cs="David" w:ascii="David" w:hAnsi="David"/>
          <w:b/>
          <w:rtl w:val="true"/>
        </w:rPr>
        <w:t>,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הכולל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cs="David" w:ascii="David" w:hAnsi="David"/>
          <w:b/>
        </w:rPr>
        <w:t>28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הרשעות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במגוון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רחב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עבירות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הוטעם</w:t>
      </w:r>
      <w:r>
        <w:rPr>
          <w:rFonts w:ascii="David" w:hAnsi="David"/>
          <w:b/>
          <w:b/>
          <w:rtl w:val="true"/>
        </w:rPr>
        <w:t xml:space="preserve"> בנקודה זו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כי</w:t>
      </w:r>
      <w:r>
        <w:rPr>
          <w:rFonts w:ascii="David" w:hAnsi="David"/>
          <w:b/>
          <w:b/>
          <w:rtl w:val="true"/>
        </w:rPr>
        <w:t xml:space="preserve">  </w:t>
      </w:r>
      <w:r>
        <w:rPr>
          <w:rFonts w:ascii="David" w:hAnsi="David"/>
          <w:b/>
          <w:b/>
          <w:rtl w:val="true"/>
        </w:rPr>
        <w:t>הנאשם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ריצה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בעבר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עונשי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מאסר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וכן צוין כי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הנאשם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הורשע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בשנת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cs="David" w:ascii="David" w:hAnsi="David"/>
          <w:b/>
        </w:rPr>
        <w:t>1985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בעבירה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החזקת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נשק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שלא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כדין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בגינה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נדון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לעונש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cs="David" w:ascii="David" w:hAnsi="David"/>
          <w:b/>
        </w:rPr>
        <w:t>3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שנות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מאסר</w:t>
      </w:r>
      <w:r>
        <w:rPr>
          <w:rFonts w:cs="David" w:ascii="David" w:hAnsi="David"/>
          <w:b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</w:rPr>
        <w:t>8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לפיכך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בהתחשב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בערך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החברתי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שנפגע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מביצוע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העבירה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ולאור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נסיבות ביצוע העבירה ו</w:t>
      </w:r>
      <w:r>
        <w:rPr>
          <w:rFonts w:ascii="David" w:hAnsi="David"/>
          <w:b/>
          <w:b/>
          <w:rtl w:val="true"/>
        </w:rPr>
        <w:t>מדיניות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הענישה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הנוהגת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במקרים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דומים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סבורה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המאשימה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מתחם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העונש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ההולם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בתיק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זה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נע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בין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cs="David" w:ascii="David" w:hAnsi="David"/>
          <w:b/>
        </w:rPr>
        <w:t>2.5</w:t>
      </w:r>
      <w:r>
        <w:rPr>
          <w:rFonts w:cs="David" w:ascii="David" w:hAnsi="David"/>
          <w:b/>
          <w:rtl w:val="true"/>
        </w:rPr>
        <w:t xml:space="preserve"> – </w:t>
      </w:r>
      <w:r>
        <w:rPr>
          <w:rFonts w:cs="David" w:ascii="David" w:hAnsi="David"/>
          <w:b/>
        </w:rPr>
        <w:t>4.5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שנות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מאסר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לריצוי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בפועל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זאת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לצד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מאסר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מותנה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בהינתן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עברו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הפלילי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המכביד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הנאשם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עותרת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המאשימה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בית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המשפט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ישית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הנאשם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עונש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המצוי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ברף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</w:t>
      </w:r>
      <w:r>
        <w:rPr>
          <w:rFonts w:ascii="David" w:hAnsi="David"/>
          <w:b/>
          <w:b/>
          <w:rtl w:val="true"/>
        </w:rPr>
        <w:t>עליון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המתחם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הנ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ל</w:t>
      </w:r>
      <w:r>
        <w:rPr>
          <w:rFonts w:cs="David" w:ascii="David" w:hAnsi="David"/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Miriam"/>
          <w:b/>
          <w:bCs/>
          <w:u w:val="single"/>
        </w:rPr>
      </w:pPr>
      <w:r>
        <w:rPr>
          <w:rFonts w:cs="Miriam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Miriam"/>
        </w:rPr>
      </w:pPr>
      <w:r>
        <w:rPr>
          <w:rFonts w:ascii="David" w:hAnsi="David" w:cs="Miriam"/>
          <w:rtl w:val="true"/>
        </w:rPr>
        <w:t>ראיות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ההגנה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Miriam"/>
        </w:rPr>
      </w:pPr>
      <w:r>
        <w:rPr>
          <w:rFonts w:cs="Miriam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</w:rPr>
        <w:t>9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במסגרת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ראיות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ההגנה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לעונש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הוגש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כאמור</w:t>
      </w:r>
      <w:r>
        <w:rPr>
          <w:rFonts w:cs="David" w:ascii="David" w:hAnsi="David"/>
          <w:b/>
          <w:rtl w:val="true"/>
        </w:rPr>
        <w:t>,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הדיסק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נ</w:t>
      </w:r>
      <w:r>
        <w:rPr>
          <w:rFonts w:cs="David" w:ascii="David" w:hAnsi="David"/>
          <w:b/>
          <w:rtl w:val="true"/>
        </w:rPr>
        <w:t>/</w:t>
      </w:r>
      <w:r>
        <w:rPr>
          <w:rFonts w:cs="David" w:ascii="David" w:hAnsi="David"/>
          <w:b/>
        </w:rPr>
        <w:t>1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וכן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תמונה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הממחישה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את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מיקום ביתו של הנאשם ואת מקום עמידת השוטר בעת הרלוונטית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כאשר הבחין בנאשם אוחז בתיק ובתוכו הנשק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cs="David" w:ascii="David" w:hAnsi="David"/>
          <w:b/>
          <w:rtl w:val="true"/>
        </w:rPr>
        <w:t>(</w:t>
      </w:r>
      <w:r>
        <w:rPr>
          <w:rFonts w:ascii="David" w:hAnsi="David"/>
          <w:b/>
          <w:b/>
          <w:rtl w:val="true"/>
        </w:rPr>
        <w:t>ראו</w:t>
      </w:r>
      <w:r>
        <w:rPr>
          <w:rFonts w:cs="David" w:ascii="David" w:hAnsi="David"/>
          <w:b/>
          <w:rtl w:val="true"/>
        </w:rPr>
        <w:t>: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 w:cs="Miriam"/>
          <w:b/>
          <w:b/>
          <w:rtl w:val="true"/>
        </w:rPr>
        <w:t>נ</w:t>
      </w:r>
      <w:r>
        <w:rPr>
          <w:rFonts w:cs="Miriam" w:ascii="David" w:hAnsi="David"/>
          <w:b/>
          <w:rtl w:val="true"/>
        </w:rPr>
        <w:t>/</w:t>
      </w:r>
      <w:r>
        <w:rPr>
          <w:rFonts w:cs="Miriam" w:ascii="David" w:hAnsi="David"/>
          <w:b/>
        </w:rPr>
        <w:t>2</w:t>
      </w:r>
      <w:r>
        <w:rPr>
          <w:rFonts w:cs="David" w:ascii="David" w:hAnsi="David"/>
          <w:b/>
          <w:rtl w:val="true"/>
        </w:rPr>
        <w:t xml:space="preserve">). </w:t>
      </w:r>
      <w:r>
        <w:rPr>
          <w:rFonts w:ascii="David" w:hAnsi="David"/>
          <w:b/>
          <w:b/>
          <w:rtl w:val="true"/>
        </w:rPr>
        <w:t>כאן אציין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אין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חולק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שהנאשם נשא את הנשק מטרים ספורים בלבד</w:t>
      </w:r>
      <w:r>
        <w:rPr>
          <w:rFonts w:cs="David" w:ascii="David" w:hAnsi="David"/>
          <w:b/>
          <w:rtl w:val="true"/>
        </w:rPr>
        <w:t>.</w:t>
      </w:r>
    </w:p>
    <w:p>
      <w:pPr>
        <w:pStyle w:val="Normal"/>
        <w:spacing w:lineRule="auto" w:line="360" w:before="0" w:after="0"/>
        <w:ind w:start="1005"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</w:rPr>
        <w:t>10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כמו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כן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במסגרת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ראיות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ההגנה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לעונש</w:t>
      </w:r>
      <w:r>
        <w:rPr>
          <w:rFonts w:cs="David" w:ascii="David" w:hAnsi="David"/>
          <w:b/>
          <w:rtl w:val="true"/>
        </w:rPr>
        <w:t>,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העיד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בפניי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אחיו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של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הנאשם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נעים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מסארוה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cs="David" w:ascii="David" w:hAnsi="David"/>
          <w:b/>
          <w:rtl w:val="true"/>
        </w:rPr>
        <w:t>(</w:t>
      </w:r>
      <w:r>
        <w:rPr>
          <w:rFonts w:ascii="David" w:hAnsi="David"/>
          <w:b/>
          <w:b/>
          <w:rtl w:val="true"/>
        </w:rPr>
        <w:t>להלן</w:t>
      </w:r>
      <w:r>
        <w:rPr>
          <w:rFonts w:cs="David" w:ascii="David" w:hAnsi="David"/>
          <w:b/>
          <w:rtl w:val="true"/>
        </w:rPr>
        <w:t xml:space="preserve">: </w:t>
      </w:r>
      <w:r>
        <w:rPr>
          <w:rFonts w:ascii="David" w:hAnsi="David" w:cs="Miriam"/>
          <w:b/>
          <w:b/>
          <w:rtl w:val="true"/>
        </w:rPr>
        <w:t>נעים</w:t>
      </w:r>
      <w:r>
        <w:rPr>
          <w:rFonts w:cs="David" w:ascii="David" w:hAnsi="David"/>
          <w:b/>
          <w:rtl w:val="true"/>
        </w:rPr>
        <w:t>)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נעים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סיפר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החליט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לשקם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את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הנאשם</w:t>
      </w:r>
      <w:r>
        <w:rPr>
          <w:rFonts w:cs="David" w:ascii="David" w:hAnsi="David"/>
          <w:b/>
          <w:rtl w:val="true"/>
        </w:rPr>
        <w:t>,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ולפיכך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בכוונתו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להעניק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לנאשם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קורת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גג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בב</w:t>
      </w:r>
      <w:r>
        <w:rPr>
          <w:rFonts w:ascii="David" w:hAnsi="David"/>
          <w:b/>
          <w:b/>
          <w:rtl w:val="true"/>
        </w:rPr>
        <w:t>ניין בו מתגורר בנו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ולהעסיק</w:t>
      </w:r>
      <w:r>
        <w:rPr>
          <w:rFonts w:ascii="David" w:hAnsi="David"/>
          <w:b/>
          <w:b/>
          <w:rtl w:val="true"/>
        </w:rPr>
        <w:t xml:space="preserve">ו </w:t>
      </w:r>
      <w:r>
        <w:rPr>
          <w:rFonts w:ascii="David" w:hAnsi="David"/>
          <w:b/>
          <w:b/>
          <w:rtl w:val="true"/>
        </w:rPr>
        <w:t>בעסק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המשפחתי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מר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נעים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 xml:space="preserve">הבהיר 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כי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זו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ההזדמנות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האחרונה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לשיקום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הניתנת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</w:t>
      </w:r>
      <w:r>
        <w:rPr>
          <w:rFonts w:ascii="David" w:hAnsi="David"/>
          <w:b/>
          <w:b/>
          <w:rtl w:val="true"/>
        </w:rPr>
        <w:t>נאשם</w:t>
      </w:r>
      <w:r>
        <w:rPr>
          <w:rFonts w:ascii="David" w:hAnsi="David"/>
          <w:b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ע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י בני משפחתו</w:t>
      </w:r>
      <w:r>
        <w:rPr>
          <w:rFonts w:cs="David" w:ascii="David" w:hAnsi="David"/>
          <w:b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Miriam"/>
        </w:rPr>
      </w:pPr>
      <w:r>
        <w:rPr>
          <w:rFonts w:ascii="David" w:hAnsi="David" w:cs="Miriam"/>
          <w:rtl w:val="true"/>
        </w:rPr>
        <w:t>טיעוני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ההגנה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Miriam"/>
        </w:rPr>
      </w:pPr>
      <w:r>
        <w:rPr>
          <w:rFonts w:cs="Miriam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בנקודה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ההדוק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ין 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בנו </w:t>
      </w:r>
      <w:r>
        <w:rPr>
          <w:rFonts w:ascii="David" w:hAnsi="David"/>
          <w:rtl w:val="true"/>
        </w:rPr>
        <w:t>נותק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מפאת מעצרו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05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17.8.16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הדגיש את </w:t>
      </w:r>
      <w:r>
        <w:rPr>
          <w:rFonts w:ascii="David" w:hAnsi="David"/>
          <w:rtl w:val="true"/>
        </w:rPr>
        <w:t>הסכמת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לקיחת האחריות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הנאשם ואת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בהזדמנות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שהביא למחיקת העבירה של החזקת נשק שלא 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05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בציינו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צפייה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מלמדת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נעצ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מדובר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לדידו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למרחק קצר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מצויה ברף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של עבירות מסוג זה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הקרובה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1005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לתמיכה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הבהיר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 לתמוך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36-10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לתמיכה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בעמדתה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ההגנה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פסיקה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>/</w:t>
      </w:r>
      <w:r>
        <w:rPr>
          <w:rFonts w:cs="Miriam" w:ascii="David" w:hAnsi="David"/>
        </w:rPr>
        <w:t>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מתן הדעת 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הפלילי </w:t>
      </w:r>
      <w:r>
        <w:rPr>
          <w:rFonts w:ascii="David" w:hAnsi="David"/>
          <w:rtl w:val="true"/>
        </w:rPr>
        <w:t>המכביד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הנראה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ימנע ממנו </w:t>
      </w:r>
      <w:r>
        <w:rPr>
          <w:rFonts w:ascii="David" w:hAnsi="David"/>
          <w:rtl w:val="true"/>
        </w:rPr>
        <w:t>חופשות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במהלך מאסרו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ממאסר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בדבריו 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סליחה ו</w:t>
      </w:r>
      <w:r>
        <w:rPr>
          <w:rFonts w:ascii="David" w:hAnsi="David"/>
          <w:rtl w:val="true"/>
        </w:rPr>
        <w:t>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שהסבו סבל לילדיו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רחמיו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cs="Miriam"/>
        </w:rPr>
      </w:pPr>
      <w:r>
        <w:rPr>
          <w:rFonts w:cs="Miriam"/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והכרעה</w:t>
      </w:r>
    </w:p>
    <w:p>
      <w:pPr>
        <w:pStyle w:val="Normal"/>
        <w:spacing w:lineRule="auto" w:line="360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cs="Calibri" w:ascii="Calibri" w:hAnsi="Calibri"/>
          <w:sz w:val="22"/>
          <w:szCs w:val="22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Calibri" w:hAnsi="Calibri" w:cs="Calibri"/>
          <w:rtl w:val="true"/>
        </w:rPr>
        <w:t>תיקון 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מתווה את העיקרון המנחה כיום את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בבואו לגזור דינו של 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ל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עיקרון 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 צריך להתקיים יחס הולם בין חומרת מעש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העבירה בנסיבותיו ומידת אשמו של הנאשם לבין סוג ומידת העונש המוטל 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יחס זה מבטא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את עיקרון הגמול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1523/10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18/4/12</w:t>
      </w:r>
      <w:r>
        <w:rPr>
          <w:rFonts w:cs="Calibri" w:ascii="Calibri" w:hAnsi="Calibri"/>
          <w:rtl w:val="true"/>
        </w:rPr>
        <w:t xml:space="preserve">). </w:t>
      </w:r>
      <w:hyperlink r:id="rId14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cs="Calibri" w:ascii="Calibri" w:hAnsi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cs="Calibri" w:ascii="Calibri" w:hAnsi="Calibri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קובע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על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לקבוע מתחם עונש הולם למעשה העבירה שביצע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 לעיקרון המנחה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לשם 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יתחשב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בערך החברתי שנפגע מביצוע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 הפגיעה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 הענישה הנהוגה ובנסיבות הקשורות בביצוע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הכלולות </w:t>
      </w:r>
      <w:hyperlink r:id="rId16">
        <w:r>
          <w:rPr>
            <w:rStyle w:val="Hyperlink"/>
            <w:rFonts w:ascii="Calibri" w:hAnsi="Calibri" w:cs="Calibri"/>
            <w:rtl w:val="true"/>
          </w:rPr>
          <w:t>בסעיף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cs="Calibri" w:ascii="Calibri" w:hAnsi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ט</w:t>
        </w:r>
      </w:hyperlink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2"/>
          <w:szCs w:val="22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 "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לסוגיהן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מגלמות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ולבטחונו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יתגלגלו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בעתיד</w:t>
      </w:r>
      <w:r>
        <w:rPr>
          <w:rtl w:val="true"/>
        </w:rPr>
        <w:t>" 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‏</w:t>
      </w:r>
      <w:r>
        <w:rPr>
          <w:rFonts w:cs="Miriam"/>
          <w:rtl w:val="true"/>
        </w:rPr>
        <w:t>כוויס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והרות</w:t>
      </w:r>
      <w:r>
        <w:rPr>
          <w:rtl w:val="true"/>
        </w:rPr>
        <w:t>-</w:t>
      </w:r>
      <w:r>
        <w:rPr>
          <w:rtl w:val="true"/>
        </w:rPr>
        <w:t>הגורל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שהינן</w:t>
      </w:r>
      <w:r>
        <w:rPr>
          <w:rtl w:val="true"/>
        </w:rPr>
        <w:t xml:space="preserve">, </w:t>
      </w:r>
      <w:r>
        <w:rPr>
          <w:rtl w:val="true"/>
        </w:rPr>
        <w:t>לדאבון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ובצדק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), </w:t>
      </w:r>
      <w:r>
        <w:rPr>
          <w:rtl w:val="true"/>
        </w:rPr>
        <w:t>כשלצידו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: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הגינותו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tl w:val="true"/>
        </w:rPr>
        <w:t xml:space="preserve"> </w:t>
      </w:r>
      <w:r>
        <w:rPr>
          <w:rtl w:val="true"/>
        </w:rPr>
        <w:t>והתמונה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/</w:t>
      </w:r>
      <w:r>
        <w:rPr>
          <w:rFonts w:cs="Miriam"/>
        </w:rPr>
        <w:t>2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4338-04-13</w:t>
        </w:r>
      </w:hyperlink>
      <w:r>
        <w:rPr>
          <w:rtl w:val="true"/>
        </w:rPr>
        <w:t xml:space="preserve"> 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אביעוז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11.12.16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31862-05-13</w:t>
        </w:r>
      </w:hyperlink>
      <w:r>
        <w:rPr>
          <w:rtl w:val="true"/>
        </w:rPr>
        <w:t xml:space="preserve"> 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1.10.13</w:t>
      </w:r>
      <w:r>
        <w:rPr>
          <w:rtl w:val="true"/>
        </w:rPr>
        <w:t xml:space="preserve">)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  </w:t>
      </w:r>
    </w:p>
    <w:p>
      <w:pPr>
        <w:pStyle w:val="ListParagraph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/>
        <w:t>2011/06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07.03.06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9983-05-16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בסל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21.11.16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ת</w:t>
      </w:r>
      <w:r>
        <w:rPr>
          <w:rFonts w:cs="Miriam"/>
          <w:rtl w:val="true"/>
        </w:rPr>
        <w:t>/</w:t>
      </w:r>
      <w:r>
        <w:rPr>
          <w:rFonts w:cs="Miriam"/>
        </w:rPr>
        <w:t>3</w:t>
      </w:r>
      <w:r>
        <w:rPr>
          <w:rFonts w:cs="Miriam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/</w:t>
      </w:r>
      <w:r>
        <w:rPr>
          <w:rFonts w:cs="Miriam"/>
        </w:rPr>
        <w:t>3</w:t>
      </w:r>
      <w:r>
        <w:rPr>
          <w:rtl w:val="true"/>
        </w:rPr>
        <w:t xml:space="preserve">),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17.08.16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Cs/>
          <w:u w:val="single"/>
        </w:rPr>
      </w:pPr>
      <w:r>
        <w:rPr>
          <w:bCs/>
          <w:u w:val="single"/>
          <w:rtl w:val="true"/>
        </w:rPr>
        <w:t>זכות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ערעור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תוך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</w:rPr>
        <w:t>45</w:t>
      </w:r>
      <w:r>
        <w:rPr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יום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לבית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המשפט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העליון</w:t>
      </w:r>
      <w:r>
        <w:rPr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Cs/>
          <w:u w:val="single"/>
        </w:rPr>
      </w:pPr>
      <w:r>
        <w:rPr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סבן </w:t>
      </w:r>
      <w:r>
        <w:rPr>
          <w:rFonts w:ascii="Arial" w:hAnsi="Arial" w:cs="Arial"/>
          <w:rtl w:val="true"/>
        </w:rPr>
        <w:t xml:space="preserve">והנאשם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הובא באמצעות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54879-08-16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אח מסארוה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22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  <w:b w:val="false"/>
      <w:bCs w:val="false"/>
      <w:lang w:bidi="he-IL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Symbol" w:hAnsi="Symbol" w:eastAsia="Times New Roman" w:cs="David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6243627" TargetMode="External"/><Relationship Id="rId14" Type="http://schemas.openxmlformats.org/officeDocument/2006/relationships/hyperlink" Target="http://www.nevo.co.il/law/70301/40c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i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601503" TargetMode="External"/><Relationship Id="rId19" Type="http://schemas.openxmlformats.org/officeDocument/2006/relationships/hyperlink" Target="http://www.nevo.co.il/law/70301/40i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6864329" TargetMode="External"/><Relationship Id="rId22" Type="http://schemas.openxmlformats.org/officeDocument/2006/relationships/hyperlink" Target="http://www.nevo.co.il/case/7840699" TargetMode="External"/><Relationship Id="rId23" Type="http://schemas.openxmlformats.org/officeDocument/2006/relationships/hyperlink" Target="http://www.nevo.co.il/case/21659433" TargetMode="External"/><Relationship Id="rId24" Type="http://schemas.openxmlformats.org/officeDocument/2006/relationships/hyperlink" Target="http://www.nevo.co.il/law/70301/40j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2018-02-27T11:38:00Z</dcterms:created>
  <dc:creator> </dc:creator>
  <dc:description/>
  <cp:keywords/>
  <dc:language>en-IL</dc:language>
  <cp:lastModifiedBy>run</cp:lastModifiedBy>
  <dcterms:modified xsi:type="dcterms:W3CDTF">2018-02-27T11:38:00Z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נג'אח מסארוה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6243627;5601503;6864329;7840699;21659433</vt:lpwstr>
  </property>
  <property fmtid="{D5CDD505-2E9C-101B-9397-08002B2CF9AE}" pid="9" name="CITY">
    <vt:lpwstr>חי'</vt:lpwstr>
  </property>
  <property fmtid="{D5CDD505-2E9C-101B-9397-08002B2CF9AE}" pid="10" name="DATE">
    <vt:lpwstr>20170130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70301/144.b;040b;040c;040i:2;40ja;144:2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54879</vt:lpwstr>
  </property>
  <property fmtid="{D5CDD505-2E9C-101B-9397-08002B2CF9AE}" pid="22" name="NEWPARTB">
    <vt:lpwstr>08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390020170130</vt:lpwstr>
  </property>
  <property fmtid="{D5CDD505-2E9C-101B-9397-08002B2CF9AE}" pid="34" name="TYPE_N_DATE">
    <vt:lpwstr>39020170130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